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E9DEB" w14:textId="2799C85C" w:rsidR="00E66F90" w:rsidRDefault="00E66F90" w:rsidP="00E66F90">
      <w:pPr>
        <w:shd w:val="clear" w:color="auto" w:fill="FFFFFF"/>
        <w:spacing w:before="100" w:beforeAutospacing="1" w:after="100" w:afterAutospacing="1" w:line="240" w:lineRule="auto"/>
        <w:rPr>
          <w:rFonts w:ascii="Trebuchet MS" w:eastAsia="Times New Roman" w:hAnsi="Trebuchet MS" w:cs="Times New Roman"/>
          <w:b/>
          <w:sz w:val="20"/>
          <w:szCs w:val="20"/>
        </w:rPr>
      </w:pPr>
      <w:r w:rsidRPr="00F64DD6">
        <w:rPr>
          <w:rFonts w:ascii="Trebuchet MS" w:eastAsia="Times New Roman" w:hAnsi="Trebuchet MS" w:cs="Times New Roman"/>
          <w:b/>
          <w:sz w:val="20"/>
          <w:szCs w:val="20"/>
        </w:rPr>
        <w:t>C</w:t>
      </w:r>
      <w:r w:rsidRPr="00E66F90">
        <w:rPr>
          <w:rFonts w:ascii="Trebuchet MS" w:eastAsia="Times New Roman" w:hAnsi="Trebuchet MS" w:cs="Times New Roman"/>
          <w:b/>
          <w:sz w:val="20"/>
          <w:szCs w:val="20"/>
        </w:rPr>
        <w:t xml:space="preserve">omplete the following problems from Chapter </w:t>
      </w:r>
      <w:r w:rsidR="000D53CE">
        <w:rPr>
          <w:rFonts w:ascii="Trebuchet MS" w:eastAsia="Times New Roman" w:hAnsi="Trebuchet MS" w:cs="Times New Roman"/>
          <w:b/>
          <w:sz w:val="20"/>
          <w:szCs w:val="20"/>
        </w:rPr>
        <w:t>8 and 9</w:t>
      </w:r>
      <w:r w:rsidRPr="00E66F90">
        <w:rPr>
          <w:rFonts w:ascii="Trebuchet MS" w:eastAsia="Times New Roman" w:hAnsi="Trebuchet MS" w:cs="Times New Roman"/>
          <w:b/>
          <w:sz w:val="20"/>
          <w:szCs w:val="20"/>
        </w:rPr>
        <w:t>:</w:t>
      </w:r>
    </w:p>
    <w:p w14:paraId="04C660D4" w14:textId="77777777" w:rsidR="000D53CE" w:rsidRPr="000D53CE" w:rsidRDefault="000D53CE" w:rsidP="000D53CE">
      <w:pPr>
        <w:numPr>
          <w:ilvl w:val="0"/>
          <w:numId w:val="11"/>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0D53CE">
        <w:rPr>
          <w:rFonts w:ascii="Trebuchet MS" w:eastAsia="Times New Roman" w:hAnsi="Trebuchet MS" w:cs="Times New Roman"/>
          <w:color w:val="555555"/>
          <w:sz w:val="20"/>
          <w:szCs w:val="20"/>
        </w:rPr>
        <w:t>P8-9</w:t>
      </w:r>
    </w:p>
    <w:p w14:paraId="497D545F" w14:textId="77777777" w:rsidR="000D53CE" w:rsidRPr="000D53CE" w:rsidRDefault="000D53CE" w:rsidP="000D53CE">
      <w:pPr>
        <w:numPr>
          <w:ilvl w:val="0"/>
          <w:numId w:val="11"/>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0D53CE">
        <w:rPr>
          <w:rFonts w:ascii="Trebuchet MS" w:eastAsia="Times New Roman" w:hAnsi="Trebuchet MS" w:cs="Times New Roman"/>
          <w:color w:val="555555"/>
          <w:sz w:val="20"/>
          <w:szCs w:val="20"/>
        </w:rPr>
        <w:t>P8-14</w:t>
      </w:r>
    </w:p>
    <w:p w14:paraId="681A928E" w14:textId="5E754DD1" w:rsidR="000D53CE" w:rsidRDefault="000D53CE" w:rsidP="000D53CE">
      <w:pPr>
        <w:numPr>
          <w:ilvl w:val="0"/>
          <w:numId w:val="11"/>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0D53CE">
        <w:rPr>
          <w:rFonts w:ascii="Trebuchet MS" w:eastAsia="Times New Roman" w:hAnsi="Trebuchet MS" w:cs="Times New Roman"/>
          <w:color w:val="555555"/>
          <w:sz w:val="20"/>
          <w:szCs w:val="20"/>
        </w:rPr>
        <w:t>P8-27</w:t>
      </w:r>
    </w:p>
    <w:p w14:paraId="5EBBA6F1" w14:textId="77777777" w:rsidR="000D53CE" w:rsidRPr="000D53CE" w:rsidRDefault="000D53CE" w:rsidP="000D53CE">
      <w:pPr>
        <w:numPr>
          <w:ilvl w:val="0"/>
          <w:numId w:val="11"/>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0D53CE">
        <w:rPr>
          <w:rFonts w:ascii="Trebuchet MS" w:eastAsia="Times New Roman" w:hAnsi="Trebuchet MS" w:cs="Times New Roman"/>
          <w:color w:val="555555"/>
          <w:sz w:val="20"/>
          <w:szCs w:val="20"/>
        </w:rPr>
        <w:t>P9-5</w:t>
      </w:r>
    </w:p>
    <w:p w14:paraId="60005DD1" w14:textId="77777777" w:rsidR="000D53CE" w:rsidRPr="000D53CE" w:rsidRDefault="000D53CE" w:rsidP="000D53CE">
      <w:pPr>
        <w:numPr>
          <w:ilvl w:val="0"/>
          <w:numId w:val="11"/>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0D53CE">
        <w:rPr>
          <w:rFonts w:ascii="Trebuchet MS" w:eastAsia="Times New Roman" w:hAnsi="Trebuchet MS" w:cs="Times New Roman"/>
          <w:color w:val="555555"/>
          <w:sz w:val="20"/>
          <w:szCs w:val="20"/>
        </w:rPr>
        <w:t>P9-7</w:t>
      </w:r>
    </w:p>
    <w:p w14:paraId="091BF4D8" w14:textId="138DFA1B" w:rsidR="000D53CE" w:rsidRPr="000D53CE" w:rsidRDefault="00860C10" w:rsidP="000D53CE">
      <w:pPr>
        <w:numPr>
          <w:ilvl w:val="0"/>
          <w:numId w:val="11"/>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Pr>
          <w:rFonts w:ascii="Trebuchet MS" w:eastAsia="Times New Roman" w:hAnsi="Trebuchet MS" w:cs="Times New Roman"/>
          <w:color w:val="555555"/>
          <w:sz w:val="20"/>
          <w:szCs w:val="20"/>
        </w:rPr>
        <w:t>P</w:t>
      </w:r>
      <w:bookmarkStart w:id="0" w:name="_GoBack"/>
      <w:bookmarkEnd w:id="0"/>
      <w:r w:rsidR="000D53CE" w:rsidRPr="000D53CE">
        <w:rPr>
          <w:rFonts w:ascii="Trebuchet MS" w:eastAsia="Times New Roman" w:hAnsi="Trebuchet MS" w:cs="Times New Roman"/>
          <w:color w:val="555555"/>
          <w:sz w:val="20"/>
          <w:szCs w:val="20"/>
        </w:rPr>
        <w:t>9-9</w:t>
      </w:r>
    </w:p>
    <w:p w14:paraId="108CB4C0" w14:textId="77777777" w:rsidR="000D53CE" w:rsidRPr="000D53CE" w:rsidRDefault="000D53CE" w:rsidP="000D53CE">
      <w:pPr>
        <w:numPr>
          <w:ilvl w:val="0"/>
          <w:numId w:val="11"/>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0D53CE">
        <w:rPr>
          <w:rFonts w:ascii="Trebuchet MS" w:eastAsia="Times New Roman" w:hAnsi="Trebuchet MS" w:cs="Times New Roman"/>
          <w:color w:val="555555"/>
          <w:sz w:val="20"/>
          <w:szCs w:val="20"/>
        </w:rPr>
        <w:t>P9-10</w:t>
      </w:r>
    </w:p>
    <w:p w14:paraId="00FED8A9" w14:textId="77777777" w:rsidR="000D53CE" w:rsidRPr="000D53CE" w:rsidRDefault="000D53CE" w:rsidP="000D53CE">
      <w:pPr>
        <w:numPr>
          <w:ilvl w:val="0"/>
          <w:numId w:val="11"/>
        </w:num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0D53CE">
        <w:rPr>
          <w:rFonts w:ascii="Trebuchet MS" w:eastAsia="Times New Roman" w:hAnsi="Trebuchet MS" w:cs="Times New Roman"/>
          <w:color w:val="555555"/>
          <w:sz w:val="20"/>
          <w:szCs w:val="20"/>
        </w:rPr>
        <w:t>P9-17</w:t>
      </w:r>
    </w:p>
    <w:p w14:paraId="55372AE8" w14:textId="090F09CD" w:rsidR="000D53CE" w:rsidRPr="000D53CE" w:rsidRDefault="000D53CE" w:rsidP="000D53CE">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p>
    <w:p w14:paraId="7A9F90E7" w14:textId="77777777" w:rsidR="00E66F90" w:rsidRPr="00E66F90" w:rsidRDefault="00E66F90" w:rsidP="00E66F90">
      <w:pPr>
        <w:shd w:val="clear" w:color="auto" w:fill="FFFFFF"/>
        <w:spacing w:before="100" w:beforeAutospacing="1" w:after="100" w:afterAutospacing="1" w:line="240" w:lineRule="auto"/>
        <w:rPr>
          <w:rFonts w:ascii="Trebuchet MS" w:eastAsia="Times New Roman" w:hAnsi="Trebuchet MS" w:cs="Times New Roman"/>
          <w:b/>
          <w:sz w:val="20"/>
          <w:szCs w:val="20"/>
        </w:rPr>
      </w:pPr>
      <w:r w:rsidRPr="00E66F90">
        <w:rPr>
          <w:rFonts w:ascii="Trebuchet MS" w:eastAsia="Times New Roman" w:hAnsi="Trebuchet MS" w:cs="Times New Roman"/>
          <w:b/>
          <w:sz w:val="20"/>
          <w:szCs w:val="20"/>
        </w:rPr>
        <w:t>Follow these instructions for completing and submitting your assignment:</w:t>
      </w:r>
    </w:p>
    <w:p w14:paraId="5686D9AA" w14:textId="32157C84" w:rsidR="00E66F90" w:rsidRPr="00E66F90" w:rsidRDefault="00F64DD6"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F64DD6">
        <w:rPr>
          <w:rFonts w:ascii="Trebuchet MS" w:eastAsia="Times New Roman" w:hAnsi="Trebuchet MS" w:cs="Times New Roman"/>
          <w:sz w:val="20"/>
          <w:szCs w:val="20"/>
          <w:highlight w:val="green"/>
        </w:rPr>
        <w:t>Please d</w:t>
      </w:r>
      <w:r w:rsidR="00E66F90" w:rsidRPr="00E66F90">
        <w:rPr>
          <w:rFonts w:ascii="Trebuchet MS" w:eastAsia="Times New Roman" w:hAnsi="Trebuchet MS" w:cs="Times New Roman"/>
          <w:sz w:val="20"/>
          <w:szCs w:val="20"/>
          <w:highlight w:val="green"/>
        </w:rPr>
        <w:t>o all work in Excel</w:t>
      </w:r>
      <w:r w:rsidR="00E66F90" w:rsidRPr="00E66F90">
        <w:rPr>
          <w:rFonts w:ascii="Trebuchet MS" w:eastAsia="Times New Roman" w:hAnsi="Trebuchet MS" w:cs="Times New Roman"/>
          <w:sz w:val="20"/>
          <w:szCs w:val="20"/>
        </w:rPr>
        <w:t>. Do not submit Word files or *.pdf files.</w:t>
      </w:r>
    </w:p>
    <w:p w14:paraId="0E593BC8"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Submit a single spreadsheet file for this assignment. Do not submit multiple files.</w:t>
      </w:r>
    </w:p>
    <w:p w14:paraId="10572626"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Place each problem on a separate spreadsheet tab.</w:t>
      </w:r>
    </w:p>
    <w:p w14:paraId="7A5F4602"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Label all inputs and outputs and highlight your final answer.</w:t>
      </w:r>
    </w:p>
    <w:p w14:paraId="340DC27F" w14:textId="326BA50E" w:rsidR="00E66F90" w:rsidRPr="00F64DD6"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Follow the directions in “Guidelines for Developing Spreadsheets.”</w:t>
      </w:r>
    </w:p>
    <w:p w14:paraId="66A7D9CF" w14:textId="505BBE3A" w:rsidR="00E66F90" w:rsidRDefault="00E66F90" w:rsidP="00E66F90">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p>
    <w:p w14:paraId="6A3698C0" w14:textId="77777777" w:rsidR="00E66F90" w:rsidRDefault="00E66F90" w:rsidP="00E66F90">
      <w:pPr>
        <w:keepNext/>
        <w:keepLines/>
        <w:spacing w:after="0"/>
        <w:outlineLvl w:val="1"/>
        <w:rPr>
          <w:rFonts w:ascii="Calibri" w:eastAsia="Times New Roman" w:hAnsi="Calibri"/>
          <w:b/>
          <w:bCs/>
          <w:sz w:val="28"/>
          <w:szCs w:val="28"/>
        </w:rPr>
      </w:pPr>
      <w:r>
        <w:rPr>
          <w:rFonts w:ascii="Calibri" w:eastAsia="Times New Roman" w:hAnsi="Calibri"/>
          <w:b/>
          <w:bCs/>
          <w:sz w:val="28"/>
          <w:szCs w:val="28"/>
        </w:rPr>
        <w:t>Guidelines for Developing Spreadsheets</w:t>
      </w:r>
    </w:p>
    <w:p w14:paraId="4B8EDC4F" w14:textId="77777777" w:rsidR="00E66F90" w:rsidRDefault="00E66F90" w:rsidP="00E66F90">
      <w:pPr>
        <w:spacing w:after="0"/>
        <w:rPr>
          <w:rFonts w:ascii="Calibri" w:eastAsia="Calibri" w:hAnsi="Calibri"/>
          <w:sz w:val="20"/>
          <w:szCs w:val="20"/>
        </w:rPr>
      </w:pPr>
    </w:p>
    <w:p w14:paraId="42A6A561" w14:textId="196D9CBA" w:rsidR="00E66F90" w:rsidRDefault="00E66F90" w:rsidP="00E66F90">
      <w:pPr>
        <w:spacing w:after="0"/>
        <w:rPr>
          <w:rFonts w:ascii="Calibri" w:hAnsi="Calibri"/>
          <w:sz w:val="20"/>
          <w:szCs w:val="20"/>
        </w:rPr>
      </w:pPr>
      <w:r>
        <w:rPr>
          <w:rFonts w:ascii="Calibri" w:hAnsi="Calibri"/>
          <w:sz w:val="20"/>
          <w:szCs w:val="20"/>
        </w:rPr>
        <w:t>It is important to develop spreadsheets that are clear, well-organized, and easy to read. Here are some tips that you will need to assist with your assignments</w:t>
      </w:r>
      <w:r w:rsidR="00A66992">
        <w:rPr>
          <w:rFonts w:ascii="Calibri" w:hAnsi="Calibri"/>
          <w:sz w:val="20"/>
          <w:szCs w:val="20"/>
        </w:rPr>
        <w:t>.</w:t>
      </w:r>
    </w:p>
    <w:p w14:paraId="0E235C8C" w14:textId="77777777" w:rsidR="00E66F90" w:rsidRDefault="00E66F90" w:rsidP="00E66F90">
      <w:pPr>
        <w:spacing w:after="0"/>
        <w:rPr>
          <w:rFonts w:ascii="Calibri" w:hAnsi="Calibri"/>
          <w:sz w:val="20"/>
          <w:szCs w:val="20"/>
        </w:rPr>
      </w:pPr>
    </w:p>
    <w:p w14:paraId="7DA22652"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Your spreadsheet should be organized into three basic parts. Clearly label each part.</w:t>
      </w:r>
    </w:p>
    <w:p w14:paraId="50A51239"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 xml:space="preserve">A title, labeling what your spreadsheet does. The title for your spreadsheets in this course can be the problem number that you are assigned. Place this in the upper left corner, in cell A1. </w:t>
      </w:r>
    </w:p>
    <w:p w14:paraId="67B8E70D"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Inputs, which are given or assumed.</w:t>
      </w:r>
    </w:p>
    <w:p w14:paraId="3B84CF77"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Results (Outputs) which the spreadsheet calculates.</w:t>
      </w:r>
    </w:p>
    <w:p w14:paraId="7117D7BA"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Provide specific labels for all inputs and outputs. Label both the variable names and the notation for the variables. Where a formula is involved, it is a good idea (but not necessary) to enter the formula to the right of the cell containing the results. I display these formulas in italics, so that they are not confused with the variable labels.</w:t>
      </w:r>
    </w:p>
    <w:p w14:paraId="3ABBF00F"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Highlight the cell containing the final answer, using EXCEL’s yellow highlighter, which can be found on the top menu bar.</w:t>
      </w:r>
    </w:p>
    <w:p w14:paraId="56F54218"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 xml:space="preserve">If your spreadsheet uses a long formula, you might find it advisable to break the formula into component parts. This serves to minimize the typos that can occur when entering long formulas, as well as makes locating errors in the results easier to find. Nested parentheses are a particular problem in long </w:t>
      </w:r>
      <w:proofErr w:type="gramStart"/>
      <w:r>
        <w:rPr>
          <w:rFonts w:ascii="Calibri" w:hAnsi="Calibri"/>
          <w:sz w:val="20"/>
          <w:szCs w:val="20"/>
        </w:rPr>
        <w:t>formulas, and</w:t>
      </w:r>
      <w:proofErr w:type="gramEnd"/>
      <w:r>
        <w:rPr>
          <w:rFonts w:ascii="Calibri" w:hAnsi="Calibri"/>
          <w:sz w:val="20"/>
          <w:szCs w:val="20"/>
        </w:rPr>
        <w:t xml:space="preserve"> breaking up the calculations into component parts minimizes the need for nested parentheses also. In the example below, the calculations are broken into two steps; (1) the percentage changes in price and quantity demanded, and (2) the final elasticity calculation using these intermediate results.</w:t>
      </w:r>
    </w:p>
    <w:p w14:paraId="19F579F9"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Don’t forget to place each homework problem on a separate spreadsheet tab. Label these tabs with the problem number for easy identification.</w:t>
      </w:r>
    </w:p>
    <w:p w14:paraId="79550478" w14:textId="77777777" w:rsidR="00E66F90" w:rsidRDefault="00E66F90" w:rsidP="00E66F90">
      <w:pPr>
        <w:spacing w:after="0"/>
        <w:ind w:left="720"/>
        <w:contextualSpacing/>
        <w:rPr>
          <w:rFonts w:ascii="Calibri" w:hAnsi="Calibri"/>
          <w:sz w:val="20"/>
          <w:szCs w:val="20"/>
        </w:rPr>
      </w:pPr>
    </w:p>
    <w:p w14:paraId="4D996694" w14:textId="77777777" w:rsidR="00E66F90" w:rsidRDefault="00E66F90" w:rsidP="00E66F90">
      <w:pPr>
        <w:spacing w:after="0"/>
        <w:ind w:left="360"/>
        <w:rPr>
          <w:rFonts w:ascii="Calibri" w:hAnsi="Calibri"/>
          <w:sz w:val="20"/>
          <w:szCs w:val="20"/>
        </w:rPr>
      </w:pPr>
      <w:r>
        <w:rPr>
          <w:rFonts w:ascii="Calibri" w:hAnsi="Calibri"/>
          <w:sz w:val="20"/>
          <w:szCs w:val="20"/>
        </w:rPr>
        <w:t>A sample spreadsheet reflecting these points is below.</w:t>
      </w:r>
    </w:p>
    <w:p w14:paraId="110126B1" w14:textId="77777777" w:rsidR="00E66F90" w:rsidRDefault="00E66F90" w:rsidP="00E66F90">
      <w:pPr>
        <w:spacing w:after="0"/>
        <w:ind w:left="360"/>
        <w:rPr>
          <w:rFonts w:ascii="Calibri" w:hAnsi="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0"/>
        <w:gridCol w:w="1418"/>
        <w:gridCol w:w="777"/>
        <w:gridCol w:w="960"/>
      </w:tblGrid>
      <w:tr w:rsidR="00E66F90" w14:paraId="5AEECA0F"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74360F7E" w14:textId="77777777" w:rsidR="00E66F90" w:rsidRDefault="00E66F90">
            <w:pPr>
              <w:spacing w:after="0" w:line="276" w:lineRule="auto"/>
              <w:ind w:left="360"/>
              <w:rPr>
                <w:rFonts w:ascii="Calibri" w:hAnsi="Calibri"/>
                <w:b/>
                <w:bCs/>
                <w:sz w:val="20"/>
                <w:szCs w:val="20"/>
              </w:rPr>
            </w:pPr>
            <w:r>
              <w:rPr>
                <w:rFonts w:ascii="Calibri" w:hAnsi="Calibri"/>
                <w:b/>
                <w:bCs/>
                <w:sz w:val="20"/>
                <w:szCs w:val="20"/>
              </w:rPr>
              <w:t>Calculating Price Elasticity of Demand</w:t>
            </w:r>
          </w:p>
        </w:tc>
        <w:tc>
          <w:tcPr>
            <w:tcW w:w="1418" w:type="dxa"/>
            <w:tcBorders>
              <w:top w:val="single" w:sz="4" w:space="0" w:color="auto"/>
              <w:left w:val="single" w:sz="4" w:space="0" w:color="auto"/>
              <w:bottom w:val="single" w:sz="4" w:space="0" w:color="auto"/>
              <w:right w:val="single" w:sz="4" w:space="0" w:color="auto"/>
            </w:tcBorders>
            <w:noWrap/>
            <w:hideMark/>
          </w:tcPr>
          <w:p w14:paraId="58FD41A5"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06CC2DF0"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20AFF3E" w14:textId="77777777" w:rsidR="00E66F90" w:rsidRDefault="00E66F90">
            <w:pPr>
              <w:spacing w:after="0" w:line="276" w:lineRule="auto"/>
              <w:rPr>
                <w:sz w:val="20"/>
                <w:szCs w:val="20"/>
              </w:rPr>
            </w:pPr>
          </w:p>
        </w:tc>
      </w:tr>
      <w:tr w:rsidR="00E66F90" w14:paraId="336A3ABC"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15CA87CE" w14:textId="77777777" w:rsidR="00E66F90" w:rsidRDefault="00E66F90">
            <w:pPr>
              <w:spacing w:after="0" w:line="276" w:lineRule="auto"/>
              <w:rPr>
                <w:sz w:val="20"/>
                <w:szCs w:val="20"/>
              </w:rPr>
            </w:pPr>
          </w:p>
        </w:tc>
        <w:tc>
          <w:tcPr>
            <w:tcW w:w="1418" w:type="dxa"/>
            <w:tcBorders>
              <w:top w:val="single" w:sz="4" w:space="0" w:color="auto"/>
              <w:left w:val="single" w:sz="4" w:space="0" w:color="auto"/>
              <w:bottom w:val="single" w:sz="4" w:space="0" w:color="auto"/>
              <w:right w:val="single" w:sz="4" w:space="0" w:color="auto"/>
            </w:tcBorders>
            <w:noWrap/>
            <w:hideMark/>
          </w:tcPr>
          <w:p w14:paraId="15C8A1F6" w14:textId="77777777" w:rsidR="00E66F90" w:rsidRDefault="00E66F90">
            <w:pPr>
              <w:spacing w:after="0" w:line="276" w:lineRule="auto"/>
              <w:rPr>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4CFA0FB7"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039C5E9" w14:textId="77777777" w:rsidR="00E66F90" w:rsidRDefault="00E66F90">
            <w:pPr>
              <w:spacing w:after="0" w:line="276" w:lineRule="auto"/>
              <w:rPr>
                <w:sz w:val="20"/>
                <w:szCs w:val="20"/>
              </w:rPr>
            </w:pPr>
          </w:p>
        </w:tc>
      </w:tr>
      <w:tr w:rsidR="00014897" w14:paraId="5EFF5A7E"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tcPr>
          <w:p w14:paraId="4E06560D" w14:textId="77777777" w:rsidR="00014897" w:rsidRDefault="00014897">
            <w:pPr>
              <w:spacing w:after="0" w:line="276" w:lineRule="auto"/>
              <w:ind w:left="360"/>
              <w:rPr>
                <w:rFonts w:ascii="Calibri" w:hAnsi="Calibri"/>
                <w:b/>
                <w:bCs/>
                <w:sz w:val="20"/>
                <w:szCs w:val="20"/>
              </w:rPr>
            </w:pPr>
          </w:p>
        </w:tc>
        <w:tc>
          <w:tcPr>
            <w:tcW w:w="1418" w:type="dxa"/>
            <w:tcBorders>
              <w:top w:val="single" w:sz="4" w:space="0" w:color="auto"/>
              <w:left w:val="single" w:sz="4" w:space="0" w:color="auto"/>
              <w:bottom w:val="single" w:sz="4" w:space="0" w:color="auto"/>
              <w:right w:val="single" w:sz="4" w:space="0" w:color="auto"/>
            </w:tcBorders>
            <w:noWrap/>
          </w:tcPr>
          <w:p w14:paraId="641FFC8C" w14:textId="77777777" w:rsidR="00014897" w:rsidRDefault="00014897">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tcPr>
          <w:p w14:paraId="3A28802B" w14:textId="77777777" w:rsidR="00014897" w:rsidRDefault="00014897">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tcPr>
          <w:p w14:paraId="3EC9CE62" w14:textId="77777777" w:rsidR="00014897" w:rsidRDefault="00014897">
            <w:pPr>
              <w:spacing w:after="0" w:line="276" w:lineRule="auto"/>
              <w:rPr>
                <w:sz w:val="20"/>
                <w:szCs w:val="20"/>
              </w:rPr>
            </w:pPr>
          </w:p>
        </w:tc>
      </w:tr>
      <w:tr w:rsidR="00E66F90" w14:paraId="2D40DB34"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0D5C15E4" w14:textId="77777777" w:rsidR="00E66F90" w:rsidRDefault="00E66F90">
            <w:pPr>
              <w:spacing w:after="0" w:line="276" w:lineRule="auto"/>
              <w:ind w:left="360"/>
              <w:rPr>
                <w:rFonts w:ascii="Calibri" w:eastAsia="Calibri" w:hAnsi="Calibri" w:cs="Times New Roman"/>
                <w:b/>
                <w:bCs/>
                <w:sz w:val="20"/>
                <w:szCs w:val="20"/>
              </w:rPr>
            </w:pPr>
            <w:r>
              <w:rPr>
                <w:rFonts w:ascii="Calibri" w:hAnsi="Calibri"/>
                <w:b/>
                <w:bCs/>
                <w:sz w:val="20"/>
                <w:szCs w:val="20"/>
              </w:rPr>
              <w:t>Inputs:</w:t>
            </w:r>
          </w:p>
        </w:tc>
        <w:tc>
          <w:tcPr>
            <w:tcW w:w="1418" w:type="dxa"/>
            <w:tcBorders>
              <w:top w:val="single" w:sz="4" w:space="0" w:color="auto"/>
              <w:left w:val="single" w:sz="4" w:space="0" w:color="auto"/>
              <w:bottom w:val="single" w:sz="4" w:space="0" w:color="auto"/>
              <w:right w:val="single" w:sz="4" w:space="0" w:color="auto"/>
            </w:tcBorders>
            <w:noWrap/>
            <w:hideMark/>
          </w:tcPr>
          <w:p w14:paraId="20C08C45"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15D1EEA3"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1BCA634" w14:textId="77777777" w:rsidR="00E66F90" w:rsidRDefault="00E66F90">
            <w:pPr>
              <w:spacing w:after="0" w:line="276" w:lineRule="auto"/>
              <w:rPr>
                <w:sz w:val="20"/>
                <w:szCs w:val="20"/>
              </w:rPr>
            </w:pPr>
          </w:p>
        </w:tc>
      </w:tr>
      <w:tr w:rsidR="00E66F90" w14:paraId="1D69EF81"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C262A37"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Original Price (P1)</w:t>
            </w:r>
          </w:p>
        </w:tc>
        <w:tc>
          <w:tcPr>
            <w:tcW w:w="1418" w:type="dxa"/>
            <w:tcBorders>
              <w:top w:val="single" w:sz="4" w:space="0" w:color="auto"/>
              <w:left w:val="single" w:sz="4" w:space="0" w:color="auto"/>
              <w:bottom w:val="single" w:sz="4" w:space="0" w:color="auto"/>
              <w:right w:val="single" w:sz="4" w:space="0" w:color="auto"/>
            </w:tcBorders>
            <w:noWrap/>
            <w:hideMark/>
          </w:tcPr>
          <w:p w14:paraId="4F2E4F07"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$10.00 </w:t>
            </w:r>
          </w:p>
        </w:tc>
        <w:tc>
          <w:tcPr>
            <w:tcW w:w="777" w:type="dxa"/>
            <w:tcBorders>
              <w:top w:val="single" w:sz="4" w:space="0" w:color="auto"/>
              <w:left w:val="single" w:sz="4" w:space="0" w:color="auto"/>
              <w:bottom w:val="single" w:sz="4" w:space="0" w:color="auto"/>
              <w:right w:val="single" w:sz="4" w:space="0" w:color="auto"/>
            </w:tcBorders>
            <w:noWrap/>
            <w:hideMark/>
          </w:tcPr>
          <w:p w14:paraId="3E9AB196"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4F9B8C80" w14:textId="77777777" w:rsidR="00E66F90" w:rsidRDefault="00E66F90">
            <w:pPr>
              <w:spacing w:after="0" w:line="276" w:lineRule="auto"/>
              <w:rPr>
                <w:sz w:val="20"/>
                <w:szCs w:val="20"/>
              </w:rPr>
            </w:pPr>
          </w:p>
        </w:tc>
      </w:tr>
      <w:tr w:rsidR="00E66F90" w14:paraId="49BB2E9B"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0415FC03"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New Price (P2)</w:t>
            </w:r>
          </w:p>
        </w:tc>
        <w:tc>
          <w:tcPr>
            <w:tcW w:w="1418" w:type="dxa"/>
            <w:tcBorders>
              <w:top w:val="single" w:sz="4" w:space="0" w:color="auto"/>
              <w:left w:val="single" w:sz="4" w:space="0" w:color="auto"/>
              <w:bottom w:val="single" w:sz="4" w:space="0" w:color="auto"/>
              <w:right w:val="single" w:sz="4" w:space="0" w:color="auto"/>
            </w:tcBorders>
            <w:noWrap/>
            <w:hideMark/>
          </w:tcPr>
          <w:p w14:paraId="5A71B1E4"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$12.00 </w:t>
            </w:r>
          </w:p>
        </w:tc>
        <w:tc>
          <w:tcPr>
            <w:tcW w:w="777" w:type="dxa"/>
            <w:tcBorders>
              <w:top w:val="single" w:sz="4" w:space="0" w:color="auto"/>
              <w:left w:val="single" w:sz="4" w:space="0" w:color="auto"/>
              <w:bottom w:val="single" w:sz="4" w:space="0" w:color="auto"/>
              <w:right w:val="single" w:sz="4" w:space="0" w:color="auto"/>
            </w:tcBorders>
            <w:noWrap/>
            <w:hideMark/>
          </w:tcPr>
          <w:p w14:paraId="56C25783"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78A414B4" w14:textId="77777777" w:rsidR="00E66F90" w:rsidRDefault="00E66F90">
            <w:pPr>
              <w:spacing w:after="0" w:line="276" w:lineRule="auto"/>
              <w:rPr>
                <w:sz w:val="20"/>
                <w:szCs w:val="20"/>
              </w:rPr>
            </w:pPr>
          </w:p>
        </w:tc>
      </w:tr>
      <w:tr w:rsidR="00E66F90" w14:paraId="0CFC2CCF"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CF7DBD5"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Original Quantity Sold (Q1)</w:t>
            </w:r>
          </w:p>
        </w:tc>
        <w:tc>
          <w:tcPr>
            <w:tcW w:w="1418" w:type="dxa"/>
            <w:tcBorders>
              <w:top w:val="single" w:sz="4" w:space="0" w:color="auto"/>
              <w:left w:val="single" w:sz="4" w:space="0" w:color="auto"/>
              <w:bottom w:val="single" w:sz="4" w:space="0" w:color="auto"/>
              <w:right w:val="single" w:sz="4" w:space="0" w:color="auto"/>
            </w:tcBorders>
            <w:noWrap/>
            <w:hideMark/>
          </w:tcPr>
          <w:p w14:paraId="3BB946F5" w14:textId="77777777" w:rsidR="00E66F90" w:rsidRDefault="00E66F90">
            <w:pPr>
              <w:spacing w:after="0" w:line="276" w:lineRule="auto"/>
              <w:ind w:left="360"/>
              <w:jc w:val="both"/>
              <w:rPr>
                <w:rFonts w:ascii="Calibri" w:hAnsi="Calibri"/>
                <w:sz w:val="20"/>
                <w:szCs w:val="20"/>
              </w:rPr>
            </w:pPr>
            <w:r>
              <w:rPr>
                <w:rFonts w:ascii="Calibri" w:hAnsi="Calibri"/>
                <w:sz w:val="20"/>
                <w:szCs w:val="20"/>
              </w:rPr>
              <w:t>950</w:t>
            </w:r>
          </w:p>
        </w:tc>
        <w:tc>
          <w:tcPr>
            <w:tcW w:w="777" w:type="dxa"/>
            <w:tcBorders>
              <w:top w:val="single" w:sz="4" w:space="0" w:color="auto"/>
              <w:left w:val="single" w:sz="4" w:space="0" w:color="auto"/>
              <w:bottom w:val="single" w:sz="4" w:space="0" w:color="auto"/>
              <w:right w:val="single" w:sz="4" w:space="0" w:color="auto"/>
            </w:tcBorders>
            <w:noWrap/>
            <w:hideMark/>
          </w:tcPr>
          <w:p w14:paraId="4DE3F0E8"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C9DCE32" w14:textId="77777777" w:rsidR="00E66F90" w:rsidRDefault="00E66F90">
            <w:pPr>
              <w:spacing w:after="0" w:line="276" w:lineRule="auto"/>
              <w:rPr>
                <w:sz w:val="20"/>
                <w:szCs w:val="20"/>
              </w:rPr>
            </w:pPr>
          </w:p>
        </w:tc>
      </w:tr>
      <w:tr w:rsidR="00E66F90" w14:paraId="13E5196E"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414FB01B"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New Quantity Sold (Q2)</w:t>
            </w:r>
          </w:p>
        </w:tc>
        <w:tc>
          <w:tcPr>
            <w:tcW w:w="1418" w:type="dxa"/>
            <w:tcBorders>
              <w:top w:val="single" w:sz="4" w:space="0" w:color="auto"/>
              <w:left w:val="single" w:sz="4" w:space="0" w:color="auto"/>
              <w:bottom w:val="single" w:sz="4" w:space="0" w:color="auto"/>
              <w:right w:val="single" w:sz="4" w:space="0" w:color="auto"/>
            </w:tcBorders>
            <w:noWrap/>
            <w:hideMark/>
          </w:tcPr>
          <w:p w14:paraId="2923CA69" w14:textId="77777777" w:rsidR="00E66F90" w:rsidRDefault="00E66F90">
            <w:pPr>
              <w:spacing w:after="0" w:line="276" w:lineRule="auto"/>
              <w:ind w:left="360"/>
              <w:jc w:val="both"/>
              <w:rPr>
                <w:rFonts w:ascii="Calibri" w:hAnsi="Calibri"/>
                <w:sz w:val="20"/>
                <w:szCs w:val="20"/>
              </w:rPr>
            </w:pPr>
            <w:r>
              <w:rPr>
                <w:rFonts w:ascii="Calibri" w:hAnsi="Calibri"/>
                <w:sz w:val="20"/>
                <w:szCs w:val="20"/>
              </w:rPr>
              <w:t>900</w:t>
            </w:r>
          </w:p>
        </w:tc>
        <w:tc>
          <w:tcPr>
            <w:tcW w:w="777" w:type="dxa"/>
            <w:tcBorders>
              <w:top w:val="single" w:sz="4" w:space="0" w:color="auto"/>
              <w:left w:val="single" w:sz="4" w:space="0" w:color="auto"/>
              <w:bottom w:val="single" w:sz="4" w:space="0" w:color="auto"/>
              <w:right w:val="single" w:sz="4" w:space="0" w:color="auto"/>
            </w:tcBorders>
            <w:noWrap/>
            <w:hideMark/>
          </w:tcPr>
          <w:p w14:paraId="5D18E660"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1F4ACE9D" w14:textId="77777777" w:rsidR="00E66F90" w:rsidRDefault="00E66F90">
            <w:pPr>
              <w:spacing w:after="0" w:line="276" w:lineRule="auto"/>
              <w:rPr>
                <w:sz w:val="20"/>
                <w:szCs w:val="20"/>
              </w:rPr>
            </w:pPr>
          </w:p>
        </w:tc>
      </w:tr>
      <w:tr w:rsidR="00E66F90" w14:paraId="241F8C4D"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570D53DF" w14:textId="77777777" w:rsidR="00E66F90" w:rsidRDefault="00E66F90">
            <w:pPr>
              <w:spacing w:after="0" w:line="276" w:lineRule="auto"/>
              <w:rPr>
                <w:sz w:val="20"/>
                <w:szCs w:val="20"/>
              </w:rPr>
            </w:pPr>
          </w:p>
        </w:tc>
        <w:tc>
          <w:tcPr>
            <w:tcW w:w="1418" w:type="dxa"/>
            <w:tcBorders>
              <w:top w:val="single" w:sz="4" w:space="0" w:color="auto"/>
              <w:left w:val="single" w:sz="4" w:space="0" w:color="auto"/>
              <w:bottom w:val="single" w:sz="4" w:space="0" w:color="auto"/>
              <w:right w:val="single" w:sz="4" w:space="0" w:color="auto"/>
            </w:tcBorders>
            <w:noWrap/>
            <w:hideMark/>
          </w:tcPr>
          <w:p w14:paraId="355773B8" w14:textId="77777777" w:rsidR="00E66F90" w:rsidRDefault="00E66F90">
            <w:pPr>
              <w:spacing w:after="0" w:line="276" w:lineRule="auto"/>
              <w:rPr>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76FF2E49"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69F9B8F" w14:textId="77777777" w:rsidR="00E66F90" w:rsidRDefault="00E66F90">
            <w:pPr>
              <w:spacing w:after="0" w:line="276" w:lineRule="auto"/>
              <w:rPr>
                <w:sz w:val="20"/>
                <w:szCs w:val="20"/>
              </w:rPr>
            </w:pPr>
          </w:p>
        </w:tc>
      </w:tr>
      <w:tr w:rsidR="00E66F90" w14:paraId="30B64F1D"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69562728" w14:textId="77777777" w:rsidR="00E66F90" w:rsidRDefault="00E66F90">
            <w:pPr>
              <w:spacing w:after="0" w:line="276" w:lineRule="auto"/>
              <w:ind w:left="360"/>
              <w:rPr>
                <w:rFonts w:ascii="Calibri" w:eastAsia="Calibri" w:hAnsi="Calibri" w:cs="Times New Roman"/>
                <w:b/>
                <w:bCs/>
                <w:sz w:val="20"/>
                <w:szCs w:val="20"/>
              </w:rPr>
            </w:pPr>
            <w:r>
              <w:rPr>
                <w:rFonts w:ascii="Calibri" w:hAnsi="Calibri"/>
                <w:b/>
                <w:bCs/>
                <w:sz w:val="20"/>
                <w:szCs w:val="20"/>
              </w:rPr>
              <w:t>Results:</w:t>
            </w:r>
          </w:p>
        </w:tc>
        <w:tc>
          <w:tcPr>
            <w:tcW w:w="1418" w:type="dxa"/>
            <w:tcBorders>
              <w:top w:val="single" w:sz="4" w:space="0" w:color="auto"/>
              <w:left w:val="single" w:sz="4" w:space="0" w:color="auto"/>
              <w:bottom w:val="single" w:sz="4" w:space="0" w:color="auto"/>
              <w:right w:val="single" w:sz="4" w:space="0" w:color="auto"/>
            </w:tcBorders>
            <w:noWrap/>
            <w:hideMark/>
          </w:tcPr>
          <w:p w14:paraId="29292AC9"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2B5B2129"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213E7F3" w14:textId="77777777" w:rsidR="00E66F90" w:rsidRDefault="00E66F90">
            <w:pPr>
              <w:spacing w:after="0" w:line="276" w:lineRule="auto"/>
              <w:rPr>
                <w:sz w:val="20"/>
                <w:szCs w:val="20"/>
              </w:rPr>
            </w:pPr>
          </w:p>
        </w:tc>
      </w:tr>
      <w:tr w:rsidR="00E66F90" w14:paraId="030D12C1"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5D05CC59"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 change in price (decimal form)</w:t>
            </w:r>
          </w:p>
        </w:tc>
        <w:tc>
          <w:tcPr>
            <w:tcW w:w="1418" w:type="dxa"/>
            <w:tcBorders>
              <w:top w:val="single" w:sz="4" w:space="0" w:color="auto"/>
              <w:left w:val="single" w:sz="4" w:space="0" w:color="auto"/>
              <w:bottom w:val="single" w:sz="4" w:space="0" w:color="auto"/>
              <w:right w:val="single" w:sz="4" w:space="0" w:color="auto"/>
            </w:tcBorders>
            <w:noWrap/>
            <w:hideMark/>
          </w:tcPr>
          <w:p w14:paraId="427D50BE"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   0.2000 </w:t>
            </w:r>
          </w:p>
        </w:tc>
        <w:tc>
          <w:tcPr>
            <w:tcW w:w="1737" w:type="dxa"/>
            <w:gridSpan w:val="2"/>
            <w:tcBorders>
              <w:top w:val="single" w:sz="4" w:space="0" w:color="auto"/>
              <w:left w:val="single" w:sz="4" w:space="0" w:color="auto"/>
              <w:bottom w:val="single" w:sz="4" w:space="0" w:color="auto"/>
              <w:right w:val="single" w:sz="4" w:space="0" w:color="auto"/>
            </w:tcBorders>
            <w:noWrap/>
            <w:hideMark/>
          </w:tcPr>
          <w:p w14:paraId="5C8F5DC4" w14:textId="77777777" w:rsidR="00E66F90" w:rsidRDefault="00E66F90">
            <w:pPr>
              <w:spacing w:after="0" w:line="276" w:lineRule="auto"/>
              <w:ind w:left="360"/>
              <w:rPr>
                <w:rFonts w:ascii="Calibri" w:hAnsi="Calibri"/>
                <w:i/>
                <w:iCs/>
                <w:sz w:val="20"/>
                <w:szCs w:val="20"/>
              </w:rPr>
            </w:pPr>
            <w:r>
              <w:rPr>
                <w:rFonts w:ascii="Calibri" w:hAnsi="Calibri"/>
                <w:i/>
                <w:iCs/>
                <w:sz w:val="20"/>
                <w:szCs w:val="20"/>
              </w:rPr>
              <w:t>=(p2-p1)/p1</w:t>
            </w:r>
          </w:p>
        </w:tc>
      </w:tr>
      <w:tr w:rsidR="00E66F90" w14:paraId="72337A42"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79534D5" w14:textId="77777777" w:rsidR="00E66F90" w:rsidRDefault="00E66F90">
            <w:pPr>
              <w:spacing w:after="0" w:line="276" w:lineRule="auto"/>
              <w:ind w:left="360"/>
              <w:rPr>
                <w:rFonts w:ascii="Calibri" w:hAnsi="Calibri"/>
                <w:sz w:val="20"/>
                <w:szCs w:val="20"/>
              </w:rPr>
            </w:pPr>
            <w:r>
              <w:rPr>
                <w:rFonts w:ascii="Calibri" w:hAnsi="Calibri"/>
                <w:sz w:val="20"/>
                <w:szCs w:val="20"/>
              </w:rPr>
              <w:t>% change in quantity demanded (decimal form)</w:t>
            </w:r>
          </w:p>
        </w:tc>
        <w:tc>
          <w:tcPr>
            <w:tcW w:w="1418" w:type="dxa"/>
            <w:tcBorders>
              <w:top w:val="single" w:sz="4" w:space="0" w:color="auto"/>
              <w:left w:val="single" w:sz="4" w:space="0" w:color="auto"/>
              <w:bottom w:val="single" w:sz="4" w:space="0" w:color="auto"/>
              <w:right w:val="single" w:sz="4" w:space="0" w:color="auto"/>
            </w:tcBorders>
            <w:noWrap/>
            <w:hideMark/>
          </w:tcPr>
          <w:p w14:paraId="22188422" w14:textId="77777777" w:rsidR="00E66F90" w:rsidRDefault="00E66F90">
            <w:pPr>
              <w:spacing w:after="0" w:line="276" w:lineRule="auto"/>
              <w:ind w:left="360"/>
              <w:jc w:val="both"/>
              <w:rPr>
                <w:rFonts w:ascii="Calibri" w:hAnsi="Calibri"/>
                <w:sz w:val="20"/>
                <w:szCs w:val="20"/>
              </w:rPr>
            </w:pPr>
            <w:r>
              <w:rPr>
                <w:rFonts w:ascii="Calibri" w:hAnsi="Calibri"/>
                <w:sz w:val="20"/>
                <w:szCs w:val="20"/>
              </w:rPr>
              <w:t>-0.05263</w:t>
            </w:r>
          </w:p>
        </w:tc>
        <w:tc>
          <w:tcPr>
            <w:tcW w:w="1737" w:type="dxa"/>
            <w:gridSpan w:val="2"/>
            <w:tcBorders>
              <w:top w:val="single" w:sz="4" w:space="0" w:color="auto"/>
              <w:left w:val="single" w:sz="4" w:space="0" w:color="auto"/>
              <w:bottom w:val="single" w:sz="4" w:space="0" w:color="auto"/>
              <w:right w:val="single" w:sz="4" w:space="0" w:color="auto"/>
            </w:tcBorders>
            <w:noWrap/>
            <w:hideMark/>
          </w:tcPr>
          <w:p w14:paraId="2191D209" w14:textId="77777777" w:rsidR="00E66F90" w:rsidRDefault="00E66F90">
            <w:pPr>
              <w:spacing w:after="0" w:line="276" w:lineRule="auto"/>
              <w:ind w:left="360"/>
              <w:rPr>
                <w:rFonts w:ascii="Calibri" w:hAnsi="Calibri"/>
                <w:i/>
                <w:iCs/>
                <w:sz w:val="20"/>
                <w:szCs w:val="20"/>
              </w:rPr>
            </w:pPr>
            <w:r>
              <w:rPr>
                <w:rFonts w:ascii="Calibri" w:hAnsi="Calibri"/>
                <w:i/>
                <w:iCs/>
                <w:sz w:val="20"/>
                <w:szCs w:val="20"/>
              </w:rPr>
              <w:t>=(q2-q1)/q1</w:t>
            </w:r>
          </w:p>
        </w:tc>
      </w:tr>
      <w:tr w:rsidR="00E66F90" w14:paraId="4CC1697B"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3BE631C2" w14:textId="77777777" w:rsidR="00E66F90" w:rsidRDefault="00E66F90">
            <w:pPr>
              <w:spacing w:after="0" w:line="276" w:lineRule="auto"/>
              <w:ind w:left="360"/>
              <w:rPr>
                <w:rFonts w:ascii="Calibri" w:hAnsi="Calibri"/>
                <w:sz w:val="20"/>
                <w:szCs w:val="20"/>
              </w:rPr>
            </w:pPr>
            <w:r>
              <w:rPr>
                <w:rFonts w:ascii="Calibri" w:hAnsi="Calibri"/>
                <w:sz w:val="20"/>
                <w:szCs w:val="20"/>
              </w:rPr>
              <w:t>price elasticity of demand</w:t>
            </w:r>
          </w:p>
        </w:tc>
        <w:tc>
          <w:tcPr>
            <w:tcW w:w="1418" w:type="dxa"/>
            <w:tcBorders>
              <w:top w:val="single" w:sz="4" w:space="0" w:color="auto"/>
              <w:left w:val="single" w:sz="4" w:space="0" w:color="auto"/>
              <w:bottom w:val="single" w:sz="4" w:space="0" w:color="auto"/>
              <w:right w:val="single" w:sz="4" w:space="0" w:color="auto"/>
            </w:tcBorders>
            <w:noWrap/>
            <w:hideMark/>
          </w:tcPr>
          <w:p w14:paraId="090FBC04" w14:textId="77777777" w:rsidR="00E66F90" w:rsidRDefault="00E66F90">
            <w:pPr>
              <w:spacing w:after="0" w:line="276" w:lineRule="auto"/>
              <w:ind w:left="360"/>
              <w:jc w:val="both"/>
              <w:rPr>
                <w:rFonts w:ascii="Calibri" w:hAnsi="Calibri"/>
                <w:sz w:val="20"/>
                <w:szCs w:val="20"/>
              </w:rPr>
            </w:pPr>
            <w:r>
              <w:rPr>
                <w:rFonts w:ascii="Calibri" w:hAnsi="Calibri"/>
                <w:sz w:val="20"/>
                <w:szCs w:val="20"/>
                <w:highlight w:val="yellow"/>
              </w:rPr>
              <w:t>-0.26316</w:t>
            </w:r>
          </w:p>
        </w:tc>
        <w:tc>
          <w:tcPr>
            <w:tcW w:w="777" w:type="dxa"/>
            <w:tcBorders>
              <w:top w:val="single" w:sz="4" w:space="0" w:color="auto"/>
              <w:left w:val="single" w:sz="4" w:space="0" w:color="auto"/>
              <w:bottom w:val="single" w:sz="4" w:space="0" w:color="auto"/>
              <w:right w:val="single" w:sz="4" w:space="0" w:color="auto"/>
            </w:tcBorders>
            <w:noWrap/>
            <w:hideMark/>
          </w:tcPr>
          <w:p w14:paraId="3BACA571"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953BE88" w14:textId="77777777" w:rsidR="00E66F90" w:rsidRDefault="00E66F90">
            <w:pPr>
              <w:spacing w:after="0" w:line="276" w:lineRule="auto"/>
              <w:rPr>
                <w:sz w:val="20"/>
                <w:szCs w:val="20"/>
              </w:rPr>
            </w:pPr>
          </w:p>
        </w:tc>
      </w:tr>
    </w:tbl>
    <w:p w14:paraId="51E05B01" w14:textId="2378C9A5" w:rsidR="00D32FBC" w:rsidRDefault="00D32FBC" w:rsidP="00E66F90"/>
    <w:p w14:paraId="732FB4F5" w14:textId="7920CD60" w:rsidR="00E66F90" w:rsidRPr="00E66F90" w:rsidRDefault="00E66F90" w:rsidP="00E66F90">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p>
    <w:p w14:paraId="41A41337" w14:textId="0B43E8AF" w:rsidR="00E66F90" w:rsidRDefault="00E66F90" w:rsidP="00E66F90"/>
    <w:p w14:paraId="68A4AE48" w14:textId="1D0DBBC2" w:rsidR="006C175E" w:rsidRPr="00014897" w:rsidRDefault="00014897" w:rsidP="006C175E">
      <w:pPr>
        <w:autoSpaceDE w:val="0"/>
        <w:autoSpaceDN w:val="0"/>
        <w:adjustRightInd w:val="0"/>
        <w:spacing w:after="0" w:line="240" w:lineRule="auto"/>
        <w:rPr>
          <w:sz w:val="32"/>
        </w:rPr>
      </w:pPr>
      <w:r w:rsidRPr="000D53CE">
        <w:rPr>
          <w:sz w:val="32"/>
          <w:highlight w:val="green"/>
        </w:rPr>
        <w:t>P</w:t>
      </w:r>
      <w:r w:rsidR="000D53CE" w:rsidRPr="000D53CE">
        <w:rPr>
          <w:sz w:val="32"/>
          <w:highlight w:val="green"/>
        </w:rPr>
        <w:t>8</w:t>
      </w:r>
      <w:r w:rsidRPr="000D53CE">
        <w:rPr>
          <w:sz w:val="32"/>
          <w:highlight w:val="green"/>
        </w:rPr>
        <w:t>-</w:t>
      </w:r>
      <w:r w:rsidR="000D53CE" w:rsidRPr="000D53CE">
        <w:rPr>
          <w:sz w:val="32"/>
          <w:highlight w:val="green"/>
        </w:rPr>
        <w:t>9</w:t>
      </w:r>
    </w:p>
    <w:p w14:paraId="1D875BC7"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rPr>
        <w:t>Rate of return, standard deviation, and coefficient of variation Mike is searching</w:t>
      </w:r>
    </w:p>
    <w:p w14:paraId="6CD8B37D"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rPr>
        <w:t>for a stock to include in his current stock portfolio. He is interested in Hi-Tech,</w:t>
      </w:r>
    </w:p>
    <w:p w14:paraId="506AA637"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rPr>
        <w:t>Inc.; he has been impressed with the company’s computer products and believes</w:t>
      </w:r>
    </w:p>
    <w:p w14:paraId="267763B9"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rPr>
        <w:t>that Hi-Tech is an innovative market player. However, Mike realizes that any</w:t>
      </w:r>
    </w:p>
    <w:p w14:paraId="4D397E95"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rPr>
        <w:t>time you consider a technology stock, risk is a major concern. The rule he follows</w:t>
      </w:r>
    </w:p>
    <w:p w14:paraId="31B9F3D2"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rPr>
        <w:t>is to include only securities with a coefficient of variation of returns below 0.90.</w:t>
      </w:r>
    </w:p>
    <w:p w14:paraId="45CB8306"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rPr>
        <w:t>Mike has obtained the following price information for the period 2012 through</w:t>
      </w:r>
    </w:p>
    <w:p w14:paraId="2B6E5ED0"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rPr>
        <w:t>2015. Hi-Tech stock, being growth-oriented, did not pay any dividends during these</w:t>
      </w:r>
    </w:p>
    <w:p w14:paraId="01298FFB" w14:textId="380B956E" w:rsidR="00014897"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rPr>
        <w:t>4 years.</w:t>
      </w:r>
    </w:p>
    <w:p w14:paraId="2F706BC9" w14:textId="179F33BB" w:rsidR="000D53CE" w:rsidRDefault="000D53CE" w:rsidP="000D53CE">
      <w:pPr>
        <w:autoSpaceDE w:val="0"/>
        <w:autoSpaceDN w:val="0"/>
        <w:adjustRightInd w:val="0"/>
        <w:spacing w:after="0" w:line="240" w:lineRule="auto"/>
        <w:rPr>
          <w:rFonts w:ascii="SabonLTStd-Bold" w:hAnsi="SabonLTStd-Bold" w:cs="SabonLTStd-Bold"/>
          <w:bCs/>
          <w:sz w:val="24"/>
          <w:szCs w:val="24"/>
        </w:rPr>
      </w:pPr>
      <w:r>
        <w:rPr>
          <w:rFonts w:ascii="SabonLTStd-Bold" w:hAnsi="SabonLTStd-Bold" w:cs="SabonLTStd-Bold"/>
          <w:bCs/>
          <w:noProof/>
          <w:sz w:val="24"/>
          <w:szCs w:val="24"/>
        </w:rPr>
        <w:drawing>
          <wp:inline distT="0" distB="0" distL="0" distR="0" wp14:anchorId="4254A7CC" wp14:editId="04324574">
            <wp:extent cx="1991003" cy="154326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89.PNG"/>
                    <pic:cNvPicPr/>
                  </pic:nvPicPr>
                  <pic:blipFill>
                    <a:blip r:embed="rId5">
                      <a:extLst>
                        <a:ext uri="{28A0092B-C50C-407E-A947-70E740481C1C}">
                          <a14:useLocalDpi xmlns:a14="http://schemas.microsoft.com/office/drawing/2010/main" val="0"/>
                        </a:ext>
                      </a:extLst>
                    </a:blip>
                    <a:stretch>
                      <a:fillRect/>
                    </a:stretch>
                  </pic:blipFill>
                  <pic:spPr>
                    <a:xfrm>
                      <a:off x="0" y="0"/>
                      <a:ext cx="1991003" cy="1543265"/>
                    </a:xfrm>
                    <a:prstGeom prst="rect">
                      <a:avLst/>
                    </a:prstGeom>
                  </pic:spPr>
                </pic:pic>
              </a:graphicData>
            </a:graphic>
          </wp:inline>
        </w:drawing>
      </w:r>
    </w:p>
    <w:p w14:paraId="3D109F2B"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highlight w:val="green"/>
        </w:rPr>
        <w:t>a</w:t>
      </w:r>
      <w:r w:rsidRPr="000D53CE">
        <w:rPr>
          <w:rFonts w:ascii="SabonLTStd-Bold" w:hAnsi="SabonLTStd-Bold" w:cs="SabonLTStd-Bold"/>
          <w:bCs/>
          <w:sz w:val="24"/>
          <w:szCs w:val="24"/>
        </w:rPr>
        <w:t>. Calculate the rate of return for each year, 2012 through 2015, for Hi-Tech stock.</w:t>
      </w:r>
    </w:p>
    <w:p w14:paraId="41B702D9"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highlight w:val="green"/>
        </w:rPr>
        <w:t>b.</w:t>
      </w:r>
      <w:r w:rsidRPr="000D53CE">
        <w:rPr>
          <w:rFonts w:ascii="SabonLTStd-Bold" w:hAnsi="SabonLTStd-Bold" w:cs="SabonLTStd-Bold"/>
          <w:bCs/>
          <w:sz w:val="24"/>
          <w:szCs w:val="24"/>
        </w:rPr>
        <w:t xml:space="preserve"> Assume that each year’s return is equally probable, and calculate the average return</w:t>
      </w:r>
    </w:p>
    <w:p w14:paraId="24F50A96"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rPr>
        <w:t>over this time period.</w:t>
      </w:r>
    </w:p>
    <w:p w14:paraId="67A3E878"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highlight w:val="green"/>
        </w:rPr>
        <w:t>c.</w:t>
      </w:r>
      <w:r w:rsidRPr="000D53CE">
        <w:rPr>
          <w:rFonts w:ascii="SabonLTStd-Bold" w:hAnsi="SabonLTStd-Bold" w:cs="SabonLTStd-Bold"/>
          <w:bCs/>
          <w:sz w:val="24"/>
          <w:szCs w:val="24"/>
        </w:rPr>
        <w:t xml:space="preserve"> Calculate the standard deviation of returns over the past 4 years. (Hint: Treat</w:t>
      </w:r>
    </w:p>
    <w:p w14:paraId="161A247B"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rPr>
        <w:t>these data as a sample.)</w:t>
      </w:r>
    </w:p>
    <w:p w14:paraId="03F630D8"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highlight w:val="green"/>
        </w:rPr>
        <w:lastRenderedPageBreak/>
        <w:t>d.</w:t>
      </w:r>
      <w:r w:rsidRPr="000D53CE">
        <w:rPr>
          <w:rFonts w:ascii="SabonLTStd-Bold" w:hAnsi="SabonLTStd-Bold" w:cs="SabonLTStd-Bold"/>
          <w:bCs/>
          <w:sz w:val="24"/>
          <w:szCs w:val="24"/>
        </w:rPr>
        <w:t xml:space="preserve"> Based on b and c, determine the coefficient of variation of returns for the security.</w:t>
      </w:r>
    </w:p>
    <w:p w14:paraId="16BC7DC0"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highlight w:val="green"/>
        </w:rPr>
        <w:t>e</w:t>
      </w:r>
      <w:r w:rsidRPr="000D53CE">
        <w:rPr>
          <w:rFonts w:ascii="SabonLTStd-Bold" w:hAnsi="SabonLTStd-Bold" w:cs="SabonLTStd-Bold"/>
          <w:bCs/>
          <w:sz w:val="24"/>
          <w:szCs w:val="24"/>
        </w:rPr>
        <w:t>. Given the calculation in d, what should be Mike’s decision regarding the inclusion</w:t>
      </w:r>
    </w:p>
    <w:p w14:paraId="51905670" w14:textId="438B52BF" w:rsid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rPr>
        <w:t>of Hi-Tech stock in his portfolio?</w:t>
      </w:r>
    </w:p>
    <w:p w14:paraId="52F23297" w14:textId="77777777" w:rsidR="000D53CE" w:rsidRDefault="000D53CE" w:rsidP="000D53CE">
      <w:pPr>
        <w:autoSpaceDE w:val="0"/>
        <w:autoSpaceDN w:val="0"/>
        <w:adjustRightInd w:val="0"/>
        <w:spacing w:after="0" w:line="240" w:lineRule="auto"/>
        <w:rPr>
          <w:rFonts w:ascii="SabonLTStd-Bold" w:hAnsi="SabonLTStd-Bold" w:cs="SabonLTStd-Bold"/>
          <w:bCs/>
          <w:sz w:val="24"/>
          <w:szCs w:val="24"/>
        </w:rPr>
      </w:pPr>
    </w:p>
    <w:p w14:paraId="715A4C33" w14:textId="302A32D5" w:rsidR="000D53CE" w:rsidRDefault="000D53CE" w:rsidP="000D53CE">
      <w:pPr>
        <w:autoSpaceDE w:val="0"/>
        <w:autoSpaceDN w:val="0"/>
        <w:adjustRightInd w:val="0"/>
        <w:spacing w:after="0" w:line="240" w:lineRule="auto"/>
        <w:rPr>
          <w:rFonts w:ascii="SabonLTStd-Bold" w:hAnsi="SabonLTStd-Bold" w:cs="SabonLTStd-Bold"/>
          <w:bCs/>
          <w:sz w:val="24"/>
          <w:szCs w:val="24"/>
        </w:rPr>
      </w:pPr>
    </w:p>
    <w:p w14:paraId="634C23EA" w14:textId="2BD39204" w:rsidR="000D53CE" w:rsidRPr="00014897" w:rsidRDefault="000D53CE" w:rsidP="000D53CE">
      <w:pPr>
        <w:autoSpaceDE w:val="0"/>
        <w:autoSpaceDN w:val="0"/>
        <w:adjustRightInd w:val="0"/>
        <w:spacing w:after="0" w:line="240" w:lineRule="auto"/>
        <w:rPr>
          <w:sz w:val="32"/>
        </w:rPr>
      </w:pPr>
      <w:r w:rsidRPr="000D53CE">
        <w:rPr>
          <w:sz w:val="32"/>
          <w:highlight w:val="green"/>
        </w:rPr>
        <w:t>P8-</w:t>
      </w:r>
      <w:r>
        <w:rPr>
          <w:sz w:val="32"/>
          <w:highlight w:val="green"/>
        </w:rPr>
        <w:t>14</w:t>
      </w:r>
    </w:p>
    <w:p w14:paraId="69651474"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rPr>
        <w:t>Portfolio analysis You have been given the expected return data shown in the first</w:t>
      </w:r>
    </w:p>
    <w:p w14:paraId="5DECDFA2" w14:textId="308BB674" w:rsid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rPr>
        <w:t>table on three assets—F, G, and H—over the period 2016–2019.</w:t>
      </w:r>
    </w:p>
    <w:p w14:paraId="7AE353AF" w14:textId="3E23A3A3" w:rsidR="000D53CE" w:rsidRDefault="000D53CE" w:rsidP="000D53CE">
      <w:pPr>
        <w:autoSpaceDE w:val="0"/>
        <w:autoSpaceDN w:val="0"/>
        <w:adjustRightInd w:val="0"/>
        <w:spacing w:after="0" w:line="240" w:lineRule="auto"/>
        <w:rPr>
          <w:rFonts w:ascii="SabonLTStd-Bold" w:hAnsi="SabonLTStd-Bold" w:cs="SabonLTStd-Bold"/>
          <w:bCs/>
          <w:sz w:val="24"/>
          <w:szCs w:val="24"/>
        </w:rPr>
      </w:pPr>
      <w:r>
        <w:rPr>
          <w:rFonts w:ascii="SabonLTStd-Bold" w:hAnsi="SabonLTStd-Bold" w:cs="SabonLTStd-Bold"/>
          <w:bCs/>
          <w:noProof/>
          <w:sz w:val="24"/>
          <w:szCs w:val="24"/>
        </w:rPr>
        <w:drawing>
          <wp:inline distT="0" distB="0" distL="0" distR="0" wp14:anchorId="33C6844A" wp14:editId="5648B3B9">
            <wp:extent cx="2934109" cy="1514686"/>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814.PNG"/>
                    <pic:cNvPicPr/>
                  </pic:nvPicPr>
                  <pic:blipFill>
                    <a:blip r:embed="rId6">
                      <a:extLst>
                        <a:ext uri="{28A0092B-C50C-407E-A947-70E740481C1C}">
                          <a14:useLocalDpi xmlns:a14="http://schemas.microsoft.com/office/drawing/2010/main" val="0"/>
                        </a:ext>
                      </a:extLst>
                    </a:blip>
                    <a:stretch>
                      <a:fillRect/>
                    </a:stretch>
                  </pic:blipFill>
                  <pic:spPr>
                    <a:xfrm>
                      <a:off x="0" y="0"/>
                      <a:ext cx="2934109" cy="1514686"/>
                    </a:xfrm>
                    <a:prstGeom prst="rect">
                      <a:avLst/>
                    </a:prstGeom>
                  </pic:spPr>
                </pic:pic>
              </a:graphicData>
            </a:graphic>
          </wp:inline>
        </w:drawing>
      </w:r>
    </w:p>
    <w:p w14:paraId="0D5CEE10"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rPr>
        <w:t>Using these assets, you have isolated the three investment alternatives shown in the</w:t>
      </w:r>
    </w:p>
    <w:p w14:paraId="78497F79" w14:textId="595B7707" w:rsid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rPr>
        <w:t>following table.</w:t>
      </w:r>
    </w:p>
    <w:p w14:paraId="24F22A27" w14:textId="39965D4B" w:rsidR="000D53CE" w:rsidRDefault="000D53CE" w:rsidP="000D53CE">
      <w:pPr>
        <w:autoSpaceDE w:val="0"/>
        <w:autoSpaceDN w:val="0"/>
        <w:adjustRightInd w:val="0"/>
        <w:spacing w:after="0" w:line="240" w:lineRule="auto"/>
        <w:rPr>
          <w:rFonts w:ascii="SabonLTStd-Bold" w:hAnsi="SabonLTStd-Bold" w:cs="SabonLTStd-Bold"/>
          <w:bCs/>
          <w:sz w:val="24"/>
          <w:szCs w:val="24"/>
        </w:rPr>
      </w:pPr>
      <w:r>
        <w:rPr>
          <w:rFonts w:ascii="SabonLTStd-Bold" w:hAnsi="SabonLTStd-Bold" w:cs="SabonLTStd-Bold"/>
          <w:bCs/>
          <w:noProof/>
          <w:sz w:val="24"/>
          <w:szCs w:val="24"/>
        </w:rPr>
        <w:drawing>
          <wp:inline distT="0" distB="0" distL="0" distR="0" wp14:anchorId="56A31A63" wp14:editId="67EE3C90">
            <wp:extent cx="3115110" cy="102884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8142.PNG"/>
                    <pic:cNvPicPr/>
                  </pic:nvPicPr>
                  <pic:blipFill>
                    <a:blip r:embed="rId7">
                      <a:extLst>
                        <a:ext uri="{28A0092B-C50C-407E-A947-70E740481C1C}">
                          <a14:useLocalDpi xmlns:a14="http://schemas.microsoft.com/office/drawing/2010/main" val="0"/>
                        </a:ext>
                      </a:extLst>
                    </a:blip>
                    <a:stretch>
                      <a:fillRect/>
                    </a:stretch>
                  </pic:blipFill>
                  <pic:spPr>
                    <a:xfrm>
                      <a:off x="0" y="0"/>
                      <a:ext cx="3115110" cy="1028844"/>
                    </a:xfrm>
                    <a:prstGeom prst="rect">
                      <a:avLst/>
                    </a:prstGeom>
                  </pic:spPr>
                </pic:pic>
              </a:graphicData>
            </a:graphic>
          </wp:inline>
        </w:drawing>
      </w:r>
    </w:p>
    <w:p w14:paraId="4BFAE8AA"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highlight w:val="green"/>
        </w:rPr>
        <w:t>a.</w:t>
      </w:r>
      <w:r w:rsidRPr="000D53CE">
        <w:rPr>
          <w:rFonts w:ascii="SabonLTStd-Bold" w:hAnsi="SabonLTStd-Bold" w:cs="SabonLTStd-Bold"/>
          <w:bCs/>
          <w:sz w:val="24"/>
          <w:szCs w:val="24"/>
        </w:rPr>
        <w:t xml:space="preserve"> Calculate the expected return over the 4-year period for each of the three</w:t>
      </w:r>
    </w:p>
    <w:p w14:paraId="73BC9783"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rPr>
        <w:t>alternatives.</w:t>
      </w:r>
    </w:p>
    <w:p w14:paraId="250D6557"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highlight w:val="green"/>
        </w:rPr>
        <w:t>b.</w:t>
      </w:r>
      <w:r w:rsidRPr="000D53CE">
        <w:rPr>
          <w:rFonts w:ascii="SabonLTStd-Bold" w:hAnsi="SabonLTStd-Bold" w:cs="SabonLTStd-Bold"/>
          <w:bCs/>
          <w:sz w:val="24"/>
          <w:szCs w:val="24"/>
        </w:rPr>
        <w:t xml:space="preserve"> Calculate the standard deviation of returns over the 4-year period for each of the</w:t>
      </w:r>
    </w:p>
    <w:p w14:paraId="0DF5920D"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rPr>
        <w:t>three alternatives.</w:t>
      </w:r>
    </w:p>
    <w:p w14:paraId="20F0AF3A"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highlight w:val="green"/>
        </w:rPr>
        <w:t>c</w:t>
      </w:r>
      <w:r w:rsidRPr="000D53CE">
        <w:rPr>
          <w:rFonts w:ascii="SabonLTStd-Bold" w:hAnsi="SabonLTStd-Bold" w:cs="SabonLTStd-Bold"/>
          <w:bCs/>
          <w:sz w:val="24"/>
          <w:szCs w:val="24"/>
        </w:rPr>
        <w:t>. Use your findings in parts a and b to calculate the coefficient of variation for</w:t>
      </w:r>
    </w:p>
    <w:p w14:paraId="4C7F07E1"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rPr>
        <w:t>each of the three alternatives.</w:t>
      </w:r>
    </w:p>
    <w:p w14:paraId="089549FD" w14:textId="77777777" w:rsidR="000D53CE" w:rsidRP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highlight w:val="green"/>
        </w:rPr>
        <w:t>d.</w:t>
      </w:r>
      <w:r w:rsidRPr="000D53CE">
        <w:rPr>
          <w:rFonts w:ascii="SabonLTStd-Bold" w:hAnsi="SabonLTStd-Bold" w:cs="SabonLTStd-Bold"/>
          <w:bCs/>
          <w:sz w:val="24"/>
          <w:szCs w:val="24"/>
        </w:rPr>
        <w:t xml:space="preserve"> </w:t>
      </w:r>
      <w:proofErr w:type="gramStart"/>
      <w:r w:rsidRPr="000D53CE">
        <w:rPr>
          <w:rFonts w:ascii="SabonLTStd-Bold" w:hAnsi="SabonLTStd-Bold" w:cs="SabonLTStd-Bold"/>
          <w:bCs/>
          <w:sz w:val="24"/>
          <w:szCs w:val="24"/>
        </w:rPr>
        <w:t>On the basis of</w:t>
      </w:r>
      <w:proofErr w:type="gramEnd"/>
      <w:r w:rsidRPr="000D53CE">
        <w:rPr>
          <w:rFonts w:ascii="SabonLTStd-Bold" w:hAnsi="SabonLTStd-Bold" w:cs="SabonLTStd-Bold"/>
          <w:bCs/>
          <w:sz w:val="24"/>
          <w:szCs w:val="24"/>
        </w:rPr>
        <w:t xml:space="preserve"> your</w:t>
      </w:r>
      <w:r>
        <w:rPr>
          <w:rFonts w:ascii="SabonLTStd-Bold" w:hAnsi="SabonLTStd-Bold" w:cs="SabonLTStd-Bold"/>
          <w:bCs/>
          <w:sz w:val="24"/>
          <w:szCs w:val="24"/>
        </w:rPr>
        <w:t xml:space="preserve"> </w:t>
      </w:r>
      <w:proofErr w:type="spellStart"/>
      <w:r w:rsidRPr="000D53CE">
        <w:rPr>
          <w:rFonts w:ascii="SabonLTStd-Bold" w:hAnsi="SabonLTStd-Bold" w:cs="SabonLTStd-Bold"/>
          <w:bCs/>
          <w:sz w:val="24"/>
          <w:szCs w:val="24"/>
        </w:rPr>
        <w:t>indings</w:t>
      </w:r>
      <w:proofErr w:type="spellEnd"/>
      <w:r w:rsidRPr="000D53CE">
        <w:rPr>
          <w:rFonts w:ascii="SabonLTStd-Bold" w:hAnsi="SabonLTStd-Bold" w:cs="SabonLTStd-Bold"/>
          <w:bCs/>
          <w:sz w:val="24"/>
          <w:szCs w:val="24"/>
        </w:rPr>
        <w:t>, which of the three investment alternatives do you</w:t>
      </w:r>
    </w:p>
    <w:p w14:paraId="5885DF2F" w14:textId="6244308C" w:rsidR="000D53CE" w:rsidRDefault="000D53CE" w:rsidP="000D53CE">
      <w:pPr>
        <w:autoSpaceDE w:val="0"/>
        <w:autoSpaceDN w:val="0"/>
        <w:adjustRightInd w:val="0"/>
        <w:spacing w:after="0" w:line="240" w:lineRule="auto"/>
        <w:rPr>
          <w:rFonts w:ascii="SabonLTStd-Bold" w:hAnsi="SabonLTStd-Bold" w:cs="SabonLTStd-Bold"/>
          <w:bCs/>
          <w:sz w:val="24"/>
          <w:szCs w:val="24"/>
        </w:rPr>
      </w:pPr>
      <w:r w:rsidRPr="000D53CE">
        <w:rPr>
          <w:rFonts w:ascii="SabonLTStd-Bold" w:hAnsi="SabonLTStd-Bold" w:cs="SabonLTStd-Bold"/>
          <w:bCs/>
          <w:sz w:val="24"/>
          <w:szCs w:val="24"/>
        </w:rPr>
        <w:t>recommend? Why?</w:t>
      </w:r>
    </w:p>
    <w:p w14:paraId="60F6FB6C" w14:textId="7E184256" w:rsidR="000D53CE" w:rsidRDefault="000D53CE" w:rsidP="000D53CE">
      <w:pPr>
        <w:autoSpaceDE w:val="0"/>
        <w:autoSpaceDN w:val="0"/>
        <w:adjustRightInd w:val="0"/>
        <w:spacing w:after="0" w:line="240" w:lineRule="auto"/>
        <w:rPr>
          <w:rFonts w:ascii="SabonLTStd-Bold" w:hAnsi="SabonLTStd-Bold" w:cs="SabonLTStd-Bold"/>
          <w:bCs/>
          <w:sz w:val="24"/>
          <w:szCs w:val="24"/>
        </w:rPr>
      </w:pPr>
    </w:p>
    <w:p w14:paraId="03B5D0DC" w14:textId="3206B7C2" w:rsidR="000D53CE" w:rsidRDefault="000D53CE" w:rsidP="000D53CE">
      <w:pPr>
        <w:autoSpaceDE w:val="0"/>
        <w:autoSpaceDN w:val="0"/>
        <w:adjustRightInd w:val="0"/>
        <w:spacing w:after="0" w:line="240" w:lineRule="auto"/>
        <w:rPr>
          <w:rFonts w:ascii="SabonLTStd-Bold" w:hAnsi="SabonLTStd-Bold" w:cs="SabonLTStd-Bold"/>
          <w:bCs/>
          <w:sz w:val="24"/>
          <w:szCs w:val="24"/>
        </w:rPr>
      </w:pPr>
    </w:p>
    <w:p w14:paraId="747AC599" w14:textId="644D99B8" w:rsidR="000D53CE" w:rsidRPr="00014897" w:rsidRDefault="000D53CE" w:rsidP="000D53CE">
      <w:pPr>
        <w:autoSpaceDE w:val="0"/>
        <w:autoSpaceDN w:val="0"/>
        <w:adjustRightInd w:val="0"/>
        <w:spacing w:after="0" w:line="240" w:lineRule="auto"/>
        <w:rPr>
          <w:sz w:val="32"/>
        </w:rPr>
      </w:pPr>
      <w:r w:rsidRPr="000D53CE">
        <w:rPr>
          <w:sz w:val="32"/>
          <w:highlight w:val="green"/>
        </w:rPr>
        <w:t>P8-</w:t>
      </w:r>
      <w:r>
        <w:rPr>
          <w:sz w:val="32"/>
          <w:highlight w:val="green"/>
        </w:rPr>
        <w:t>27</w:t>
      </w:r>
    </w:p>
    <w:p w14:paraId="06D9E9B1"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Portfolio return and beta Jamie Peters invested $100,000 to set up the following</w:t>
      </w:r>
    </w:p>
    <w:p w14:paraId="46C45196" w14:textId="62AA1939" w:rsidR="000D53CE"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portfolio 1 year ago.</w:t>
      </w:r>
    </w:p>
    <w:p w14:paraId="32969306" w14:textId="560E7C0B" w:rsidR="00860C10" w:rsidRDefault="00860C10" w:rsidP="00860C10">
      <w:pPr>
        <w:autoSpaceDE w:val="0"/>
        <w:autoSpaceDN w:val="0"/>
        <w:adjustRightInd w:val="0"/>
        <w:spacing w:after="0" w:line="240" w:lineRule="auto"/>
        <w:rPr>
          <w:rFonts w:ascii="SabonLTStd-Bold" w:hAnsi="SabonLTStd-Bold" w:cs="SabonLTStd-Bold"/>
          <w:bCs/>
          <w:sz w:val="24"/>
          <w:szCs w:val="24"/>
        </w:rPr>
      </w:pPr>
      <w:r>
        <w:rPr>
          <w:rFonts w:ascii="SabonLTStd-Bold" w:hAnsi="SabonLTStd-Bold" w:cs="SabonLTStd-Bold"/>
          <w:bCs/>
          <w:noProof/>
          <w:sz w:val="24"/>
          <w:szCs w:val="24"/>
        </w:rPr>
        <w:lastRenderedPageBreak/>
        <w:drawing>
          <wp:inline distT="0" distB="0" distL="0" distR="0" wp14:anchorId="01D18047" wp14:editId="0C91F270">
            <wp:extent cx="4753638" cy="1286054"/>
            <wp:effectExtent l="0" t="0" r="889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827.PNG"/>
                    <pic:cNvPicPr/>
                  </pic:nvPicPr>
                  <pic:blipFill>
                    <a:blip r:embed="rId8">
                      <a:extLst>
                        <a:ext uri="{28A0092B-C50C-407E-A947-70E740481C1C}">
                          <a14:useLocalDpi xmlns:a14="http://schemas.microsoft.com/office/drawing/2010/main" val="0"/>
                        </a:ext>
                      </a:extLst>
                    </a:blip>
                    <a:stretch>
                      <a:fillRect/>
                    </a:stretch>
                  </pic:blipFill>
                  <pic:spPr>
                    <a:xfrm>
                      <a:off x="0" y="0"/>
                      <a:ext cx="4753638" cy="1286054"/>
                    </a:xfrm>
                    <a:prstGeom prst="rect">
                      <a:avLst/>
                    </a:prstGeom>
                  </pic:spPr>
                </pic:pic>
              </a:graphicData>
            </a:graphic>
          </wp:inline>
        </w:drawing>
      </w:r>
    </w:p>
    <w:p w14:paraId="5C3EFFE4"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highlight w:val="green"/>
        </w:rPr>
        <w:t>a</w:t>
      </w:r>
      <w:r w:rsidRPr="00860C10">
        <w:rPr>
          <w:rFonts w:ascii="SabonLTStd-Bold" w:hAnsi="SabonLTStd-Bold" w:cs="SabonLTStd-Bold"/>
          <w:bCs/>
          <w:sz w:val="24"/>
          <w:szCs w:val="24"/>
        </w:rPr>
        <w:t xml:space="preserve">. Calculate the portfolio beta </w:t>
      </w:r>
      <w:proofErr w:type="gramStart"/>
      <w:r w:rsidRPr="00860C10">
        <w:rPr>
          <w:rFonts w:ascii="SabonLTStd-Bold" w:hAnsi="SabonLTStd-Bold" w:cs="SabonLTStd-Bold"/>
          <w:bCs/>
          <w:sz w:val="24"/>
          <w:szCs w:val="24"/>
        </w:rPr>
        <w:t>on the basis of</w:t>
      </w:r>
      <w:proofErr w:type="gramEnd"/>
      <w:r w:rsidRPr="00860C10">
        <w:rPr>
          <w:rFonts w:ascii="SabonLTStd-Bold" w:hAnsi="SabonLTStd-Bold" w:cs="SabonLTStd-Bold"/>
          <w:bCs/>
          <w:sz w:val="24"/>
          <w:szCs w:val="24"/>
        </w:rPr>
        <w:t xml:space="preserve"> the original cost figures.</w:t>
      </w:r>
    </w:p>
    <w:p w14:paraId="77EBB17B"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highlight w:val="green"/>
        </w:rPr>
        <w:t>b.</w:t>
      </w:r>
      <w:r w:rsidRPr="00860C10">
        <w:rPr>
          <w:rFonts w:ascii="SabonLTStd-Bold" w:hAnsi="SabonLTStd-Bold" w:cs="SabonLTStd-Bold"/>
          <w:bCs/>
          <w:sz w:val="24"/>
          <w:szCs w:val="24"/>
        </w:rPr>
        <w:t xml:space="preserve"> Calculate the percentage return of each asset in the portfolio for the year.</w:t>
      </w:r>
    </w:p>
    <w:p w14:paraId="2804ABDA"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highlight w:val="green"/>
        </w:rPr>
        <w:t>c.</w:t>
      </w:r>
      <w:r w:rsidRPr="00860C10">
        <w:rPr>
          <w:rFonts w:ascii="SabonLTStd-Bold" w:hAnsi="SabonLTStd-Bold" w:cs="SabonLTStd-Bold"/>
          <w:bCs/>
          <w:sz w:val="24"/>
          <w:szCs w:val="24"/>
        </w:rPr>
        <w:t xml:space="preserve"> Calculate the percentage return of the portfolio </w:t>
      </w:r>
      <w:proofErr w:type="gramStart"/>
      <w:r w:rsidRPr="00860C10">
        <w:rPr>
          <w:rFonts w:ascii="SabonLTStd-Bold" w:hAnsi="SabonLTStd-Bold" w:cs="SabonLTStd-Bold"/>
          <w:bCs/>
          <w:sz w:val="24"/>
          <w:szCs w:val="24"/>
        </w:rPr>
        <w:t>on the basis of</w:t>
      </w:r>
      <w:proofErr w:type="gramEnd"/>
      <w:r w:rsidRPr="00860C10">
        <w:rPr>
          <w:rFonts w:ascii="SabonLTStd-Bold" w:hAnsi="SabonLTStd-Bold" w:cs="SabonLTStd-Bold"/>
          <w:bCs/>
          <w:sz w:val="24"/>
          <w:szCs w:val="24"/>
        </w:rPr>
        <w:t xml:space="preserve"> original cost,</w:t>
      </w:r>
    </w:p>
    <w:p w14:paraId="5641A0E3"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using income and gains during the year.</w:t>
      </w:r>
    </w:p>
    <w:p w14:paraId="2EC60460"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highlight w:val="green"/>
        </w:rPr>
        <w:t>d.</w:t>
      </w:r>
      <w:r w:rsidRPr="00860C10">
        <w:rPr>
          <w:rFonts w:ascii="SabonLTStd-Bold" w:hAnsi="SabonLTStd-Bold" w:cs="SabonLTStd-Bold"/>
          <w:bCs/>
          <w:sz w:val="24"/>
          <w:szCs w:val="24"/>
        </w:rPr>
        <w:t xml:space="preserve"> At the time Jamie made his investments, investors were estimating that the market</w:t>
      </w:r>
    </w:p>
    <w:p w14:paraId="7DA29D87"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return for the coming year would be 10%. The estimate of the risk-free rate of return</w:t>
      </w:r>
    </w:p>
    <w:p w14:paraId="62824F42"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averaged 4% for the coming year. Calculate an expected rate of return for each stock</w:t>
      </w:r>
    </w:p>
    <w:p w14:paraId="3C2783B3"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proofErr w:type="gramStart"/>
      <w:r w:rsidRPr="00860C10">
        <w:rPr>
          <w:rFonts w:ascii="SabonLTStd-Bold" w:hAnsi="SabonLTStd-Bold" w:cs="SabonLTStd-Bold"/>
          <w:bCs/>
          <w:sz w:val="24"/>
          <w:szCs w:val="24"/>
        </w:rPr>
        <w:t>on the basis of</w:t>
      </w:r>
      <w:proofErr w:type="gramEnd"/>
      <w:r w:rsidRPr="00860C10">
        <w:rPr>
          <w:rFonts w:ascii="SabonLTStd-Bold" w:hAnsi="SabonLTStd-Bold" w:cs="SabonLTStd-Bold"/>
          <w:bCs/>
          <w:sz w:val="24"/>
          <w:szCs w:val="24"/>
        </w:rPr>
        <w:t xml:space="preserve"> its beta and the expectations of market and risk-free returns.</w:t>
      </w:r>
    </w:p>
    <w:p w14:paraId="52F43302"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highlight w:val="green"/>
        </w:rPr>
        <w:t>e.</w:t>
      </w:r>
      <w:r w:rsidRPr="00860C10">
        <w:rPr>
          <w:rFonts w:ascii="SabonLTStd-Bold" w:hAnsi="SabonLTStd-Bold" w:cs="SabonLTStd-Bold"/>
          <w:bCs/>
          <w:sz w:val="24"/>
          <w:szCs w:val="24"/>
        </w:rPr>
        <w:t xml:space="preserve"> </w:t>
      </w:r>
      <w:proofErr w:type="gramStart"/>
      <w:r w:rsidRPr="00860C10">
        <w:rPr>
          <w:rFonts w:ascii="SabonLTStd-Bold" w:hAnsi="SabonLTStd-Bold" w:cs="SabonLTStd-Bold"/>
          <w:bCs/>
          <w:sz w:val="24"/>
          <w:szCs w:val="24"/>
        </w:rPr>
        <w:t>On the basis of</w:t>
      </w:r>
      <w:proofErr w:type="gramEnd"/>
      <w:r w:rsidRPr="00860C10">
        <w:rPr>
          <w:rFonts w:ascii="SabonLTStd-Bold" w:hAnsi="SabonLTStd-Bold" w:cs="SabonLTStd-Bold"/>
          <w:bCs/>
          <w:sz w:val="24"/>
          <w:szCs w:val="24"/>
        </w:rPr>
        <w:t xml:space="preserve"> the actual results, explain how each stock in the portfolio performed</w:t>
      </w:r>
    </w:p>
    <w:p w14:paraId="7D55AA6A"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relative to those CAPM-generated expectations of performance. What</w:t>
      </w:r>
    </w:p>
    <w:p w14:paraId="04B9852C" w14:textId="401BEEA2" w:rsid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factors could explain these differences?</w:t>
      </w:r>
    </w:p>
    <w:p w14:paraId="0A9E9C77" w14:textId="01E52C05" w:rsidR="00860C10" w:rsidRDefault="00860C10" w:rsidP="00860C10">
      <w:pPr>
        <w:autoSpaceDE w:val="0"/>
        <w:autoSpaceDN w:val="0"/>
        <w:adjustRightInd w:val="0"/>
        <w:spacing w:after="0" w:line="240" w:lineRule="auto"/>
        <w:rPr>
          <w:rFonts w:ascii="SabonLTStd-Bold" w:hAnsi="SabonLTStd-Bold" w:cs="SabonLTStd-Bold"/>
          <w:bCs/>
          <w:sz w:val="24"/>
          <w:szCs w:val="24"/>
        </w:rPr>
      </w:pPr>
    </w:p>
    <w:p w14:paraId="4FD6646D" w14:textId="6ED794AC" w:rsidR="00860C10" w:rsidRDefault="00860C10" w:rsidP="00860C10">
      <w:pPr>
        <w:autoSpaceDE w:val="0"/>
        <w:autoSpaceDN w:val="0"/>
        <w:adjustRightInd w:val="0"/>
        <w:spacing w:after="0" w:line="240" w:lineRule="auto"/>
        <w:rPr>
          <w:rFonts w:ascii="SabonLTStd-Bold" w:hAnsi="SabonLTStd-Bold" w:cs="SabonLTStd-Bold"/>
          <w:bCs/>
          <w:sz w:val="24"/>
          <w:szCs w:val="24"/>
        </w:rPr>
      </w:pPr>
    </w:p>
    <w:p w14:paraId="505A0B09" w14:textId="77777777" w:rsidR="00860C10" w:rsidRDefault="00860C10" w:rsidP="00860C10">
      <w:pPr>
        <w:autoSpaceDE w:val="0"/>
        <w:autoSpaceDN w:val="0"/>
        <w:adjustRightInd w:val="0"/>
        <w:spacing w:after="0" w:line="240" w:lineRule="auto"/>
        <w:rPr>
          <w:rFonts w:ascii="SabonLTStd-Bold" w:hAnsi="SabonLTStd-Bold" w:cs="SabonLTStd-Bold"/>
          <w:bCs/>
          <w:sz w:val="24"/>
          <w:szCs w:val="24"/>
        </w:rPr>
      </w:pPr>
    </w:p>
    <w:p w14:paraId="296637BB" w14:textId="506376CE" w:rsidR="00860C10" w:rsidRPr="00014897" w:rsidRDefault="00860C10" w:rsidP="00860C10">
      <w:pPr>
        <w:autoSpaceDE w:val="0"/>
        <w:autoSpaceDN w:val="0"/>
        <w:adjustRightInd w:val="0"/>
        <w:spacing w:after="0" w:line="240" w:lineRule="auto"/>
        <w:rPr>
          <w:sz w:val="32"/>
        </w:rPr>
      </w:pPr>
      <w:r w:rsidRPr="000D53CE">
        <w:rPr>
          <w:sz w:val="32"/>
          <w:highlight w:val="green"/>
        </w:rPr>
        <w:t>P</w:t>
      </w:r>
      <w:r>
        <w:rPr>
          <w:sz w:val="32"/>
          <w:highlight w:val="green"/>
        </w:rPr>
        <w:t>9</w:t>
      </w:r>
      <w:r w:rsidRPr="000D53CE">
        <w:rPr>
          <w:sz w:val="32"/>
          <w:highlight w:val="green"/>
        </w:rPr>
        <w:t>-</w:t>
      </w:r>
      <w:r>
        <w:rPr>
          <w:sz w:val="32"/>
          <w:highlight w:val="green"/>
        </w:rPr>
        <w:t>5</w:t>
      </w:r>
    </w:p>
    <w:p w14:paraId="4B7D857F"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 xml:space="preserve">The cost of debt </w:t>
      </w:r>
      <w:proofErr w:type="spellStart"/>
      <w:r w:rsidRPr="00860C10">
        <w:rPr>
          <w:rFonts w:ascii="SabonLTStd-Bold" w:hAnsi="SabonLTStd-Bold" w:cs="SabonLTStd-Bold"/>
          <w:bCs/>
          <w:sz w:val="24"/>
          <w:szCs w:val="24"/>
        </w:rPr>
        <w:t>Gronseth</w:t>
      </w:r>
      <w:proofErr w:type="spellEnd"/>
      <w:r w:rsidRPr="00860C10">
        <w:rPr>
          <w:rFonts w:ascii="SabonLTStd-Bold" w:hAnsi="SabonLTStd-Bold" w:cs="SabonLTStd-Bold"/>
          <w:bCs/>
          <w:sz w:val="24"/>
          <w:szCs w:val="24"/>
        </w:rPr>
        <w:t xml:space="preserve"> Drywall Systems, Inc., is in discussions with its investment</w:t>
      </w:r>
    </w:p>
    <w:p w14:paraId="29774197"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bankers regarding the issuance of new bonds. The investment banker has informed</w:t>
      </w:r>
    </w:p>
    <w:p w14:paraId="5F1BF946"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the firm that different maturities will carry different coupon rates and sell at</w:t>
      </w:r>
    </w:p>
    <w:p w14:paraId="4F36CDD7"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different prices. The firm must choose among several alternatives. In each case, the</w:t>
      </w:r>
    </w:p>
    <w:p w14:paraId="0483A207"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bonds will have a $1,000 par value and flotation costs will be $30 per bond. The</w:t>
      </w:r>
    </w:p>
    <w:p w14:paraId="48EB8FC1"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company is taxed at a rate of 40%. Calculate the after-tax cost of financing with</w:t>
      </w:r>
    </w:p>
    <w:p w14:paraId="5F6F6A9E" w14:textId="069280C8" w:rsid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each of the following alternatives.</w:t>
      </w:r>
    </w:p>
    <w:p w14:paraId="3D6339EB" w14:textId="717F7688" w:rsidR="00860C10" w:rsidRDefault="00860C10" w:rsidP="00860C10">
      <w:pPr>
        <w:autoSpaceDE w:val="0"/>
        <w:autoSpaceDN w:val="0"/>
        <w:adjustRightInd w:val="0"/>
        <w:spacing w:after="0" w:line="240" w:lineRule="auto"/>
        <w:rPr>
          <w:rFonts w:ascii="SabonLTStd-Bold" w:hAnsi="SabonLTStd-Bold" w:cs="SabonLTStd-Bold"/>
          <w:bCs/>
          <w:sz w:val="24"/>
          <w:szCs w:val="24"/>
        </w:rPr>
      </w:pPr>
      <w:r>
        <w:rPr>
          <w:rFonts w:ascii="SabonLTStd-Bold" w:hAnsi="SabonLTStd-Bold" w:cs="SabonLTStd-Bold"/>
          <w:bCs/>
          <w:noProof/>
          <w:sz w:val="24"/>
          <w:szCs w:val="24"/>
        </w:rPr>
        <w:drawing>
          <wp:inline distT="0" distB="0" distL="0" distR="0" wp14:anchorId="5A774D92" wp14:editId="3130DF44">
            <wp:extent cx="3362794" cy="135273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95.PNG"/>
                    <pic:cNvPicPr/>
                  </pic:nvPicPr>
                  <pic:blipFill>
                    <a:blip r:embed="rId9">
                      <a:extLst>
                        <a:ext uri="{28A0092B-C50C-407E-A947-70E740481C1C}">
                          <a14:useLocalDpi xmlns:a14="http://schemas.microsoft.com/office/drawing/2010/main" val="0"/>
                        </a:ext>
                      </a:extLst>
                    </a:blip>
                    <a:stretch>
                      <a:fillRect/>
                    </a:stretch>
                  </pic:blipFill>
                  <pic:spPr>
                    <a:xfrm>
                      <a:off x="0" y="0"/>
                      <a:ext cx="3362794" cy="1352739"/>
                    </a:xfrm>
                    <a:prstGeom prst="rect">
                      <a:avLst/>
                    </a:prstGeom>
                  </pic:spPr>
                </pic:pic>
              </a:graphicData>
            </a:graphic>
          </wp:inline>
        </w:drawing>
      </w:r>
    </w:p>
    <w:p w14:paraId="41F3284E" w14:textId="2A9D5D4D" w:rsidR="00860C10" w:rsidRDefault="00860C10" w:rsidP="00860C10">
      <w:pPr>
        <w:autoSpaceDE w:val="0"/>
        <w:autoSpaceDN w:val="0"/>
        <w:adjustRightInd w:val="0"/>
        <w:spacing w:after="0" w:line="240" w:lineRule="auto"/>
        <w:rPr>
          <w:rFonts w:ascii="SabonLTStd-Bold" w:hAnsi="SabonLTStd-Bold" w:cs="SabonLTStd-Bold"/>
          <w:bCs/>
          <w:sz w:val="24"/>
          <w:szCs w:val="24"/>
        </w:rPr>
      </w:pPr>
    </w:p>
    <w:p w14:paraId="72112085" w14:textId="16198E72" w:rsidR="00860C10" w:rsidRDefault="00860C10" w:rsidP="00860C10">
      <w:pPr>
        <w:autoSpaceDE w:val="0"/>
        <w:autoSpaceDN w:val="0"/>
        <w:adjustRightInd w:val="0"/>
        <w:spacing w:after="0" w:line="240" w:lineRule="auto"/>
        <w:rPr>
          <w:rFonts w:ascii="SabonLTStd-Bold" w:hAnsi="SabonLTStd-Bold" w:cs="SabonLTStd-Bold"/>
          <w:bCs/>
          <w:sz w:val="24"/>
          <w:szCs w:val="24"/>
        </w:rPr>
      </w:pPr>
    </w:p>
    <w:p w14:paraId="0E17FA27" w14:textId="54E24B4F" w:rsidR="00860C10" w:rsidRPr="00014897" w:rsidRDefault="00860C10" w:rsidP="00860C10">
      <w:pPr>
        <w:autoSpaceDE w:val="0"/>
        <w:autoSpaceDN w:val="0"/>
        <w:adjustRightInd w:val="0"/>
        <w:spacing w:after="0" w:line="240" w:lineRule="auto"/>
        <w:rPr>
          <w:sz w:val="32"/>
        </w:rPr>
      </w:pPr>
      <w:r w:rsidRPr="000D53CE">
        <w:rPr>
          <w:sz w:val="32"/>
          <w:highlight w:val="green"/>
        </w:rPr>
        <w:t>P</w:t>
      </w:r>
      <w:r>
        <w:rPr>
          <w:sz w:val="32"/>
          <w:highlight w:val="green"/>
        </w:rPr>
        <w:t>9</w:t>
      </w:r>
      <w:r w:rsidRPr="000D53CE">
        <w:rPr>
          <w:sz w:val="32"/>
          <w:highlight w:val="green"/>
        </w:rPr>
        <w:t>-</w:t>
      </w:r>
      <w:r>
        <w:rPr>
          <w:sz w:val="32"/>
          <w:highlight w:val="green"/>
        </w:rPr>
        <w:t>7</w:t>
      </w:r>
    </w:p>
    <w:p w14:paraId="47E26AAC"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Cost of preferred stock Taylor Systems has just issued preferred stock. The stock</w:t>
      </w:r>
    </w:p>
    <w:p w14:paraId="542318A8"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has a 12% annual dividend and a $100 par value and was sold at $97.50 per share.</w:t>
      </w:r>
    </w:p>
    <w:p w14:paraId="6175CC81"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In addition, flotation costs of $2.50 per share must be paid.</w:t>
      </w:r>
    </w:p>
    <w:p w14:paraId="7F336B25"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highlight w:val="green"/>
        </w:rPr>
        <w:t>a.</w:t>
      </w:r>
      <w:r w:rsidRPr="00860C10">
        <w:rPr>
          <w:rFonts w:ascii="SabonLTStd-Bold" w:hAnsi="SabonLTStd-Bold" w:cs="SabonLTStd-Bold"/>
          <w:bCs/>
          <w:sz w:val="24"/>
          <w:szCs w:val="24"/>
        </w:rPr>
        <w:t xml:space="preserve"> Calculate the cost of the preferred stock.</w:t>
      </w:r>
    </w:p>
    <w:p w14:paraId="72A25510"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highlight w:val="green"/>
        </w:rPr>
        <w:lastRenderedPageBreak/>
        <w:t>b.</w:t>
      </w:r>
      <w:r w:rsidRPr="00860C10">
        <w:rPr>
          <w:rFonts w:ascii="SabonLTStd-Bold" w:hAnsi="SabonLTStd-Bold" w:cs="SabonLTStd-Bold"/>
          <w:bCs/>
          <w:sz w:val="24"/>
          <w:szCs w:val="24"/>
        </w:rPr>
        <w:t xml:space="preserve"> If the firm sells the preferred stock with a 10% annual dividend and nets $90.00</w:t>
      </w:r>
    </w:p>
    <w:p w14:paraId="6D7A7644" w14:textId="6C4A43EE" w:rsid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after flotation costs, what is its cost?</w:t>
      </w:r>
    </w:p>
    <w:p w14:paraId="781CF18D" w14:textId="096BA43D" w:rsidR="00860C10" w:rsidRDefault="00860C10" w:rsidP="00860C10">
      <w:pPr>
        <w:autoSpaceDE w:val="0"/>
        <w:autoSpaceDN w:val="0"/>
        <w:adjustRightInd w:val="0"/>
        <w:spacing w:after="0" w:line="240" w:lineRule="auto"/>
        <w:rPr>
          <w:rFonts w:ascii="SabonLTStd-Bold" w:hAnsi="SabonLTStd-Bold" w:cs="SabonLTStd-Bold"/>
          <w:bCs/>
          <w:sz w:val="24"/>
          <w:szCs w:val="24"/>
        </w:rPr>
      </w:pPr>
    </w:p>
    <w:p w14:paraId="01886EF0" w14:textId="6A149832" w:rsidR="00860C10" w:rsidRDefault="00860C10" w:rsidP="00860C10">
      <w:pPr>
        <w:autoSpaceDE w:val="0"/>
        <w:autoSpaceDN w:val="0"/>
        <w:adjustRightInd w:val="0"/>
        <w:spacing w:after="0" w:line="240" w:lineRule="auto"/>
        <w:rPr>
          <w:rFonts w:ascii="SabonLTStd-Bold" w:hAnsi="SabonLTStd-Bold" w:cs="SabonLTStd-Bold"/>
          <w:bCs/>
          <w:sz w:val="24"/>
          <w:szCs w:val="24"/>
        </w:rPr>
      </w:pPr>
    </w:p>
    <w:p w14:paraId="5E65822B" w14:textId="4F5EF805" w:rsidR="00860C10" w:rsidRPr="00014897" w:rsidRDefault="00860C10" w:rsidP="00860C10">
      <w:pPr>
        <w:autoSpaceDE w:val="0"/>
        <w:autoSpaceDN w:val="0"/>
        <w:adjustRightInd w:val="0"/>
        <w:spacing w:after="0" w:line="240" w:lineRule="auto"/>
        <w:rPr>
          <w:sz w:val="32"/>
        </w:rPr>
      </w:pPr>
      <w:r w:rsidRPr="000D53CE">
        <w:rPr>
          <w:sz w:val="32"/>
          <w:highlight w:val="green"/>
        </w:rPr>
        <w:t>P</w:t>
      </w:r>
      <w:r>
        <w:rPr>
          <w:sz w:val="32"/>
          <w:highlight w:val="green"/>
        </w:rPr>
        <w:t>9</w:t>
      </w:r>
      <w:r>
        <w:rPr>
          <w:sz w:val="32"/>
          <w:highlight w:val="green"/>
        </w:rPr>
        <w:t>-9</w:t>
      </w:r>
    </w:p>
    <w:p w14:paraId="4D073969"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Cost of common stock equity: CAPM J&amp;M Corporation common stock has a beta,</w:t>
      </w:r>
    </w:p>
    <w:p w14:paraId="29325A7F"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b, of 1.2. The risk-free rate is 6%, and the market return is 11%.</w:t>
      </w:r>
    </w:p>
    <w:p w14:paraId="0BC67C74"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highlight w:val="green"/>
        </w:rPr>
        <w:t>a.</w:t>
      </w:r>
      <w:r w:rsidRPr="00860C10">
        <w:rPr>
          <w:rFonts w:ascii="SabonLTStd-Bold" w:hAnsi="SabonLTStd-Bold" w:cs="SabonLTStd-Bold"/>
          <w:bCs/>
          <w:sz w:val="24"/>
          <w:szCs w:val="24"/>
        </w:rPr>
        <w:t xml:space="preserve"> Determine the risk premium on J&amp;M common stock.</w:t>
      </w:r>
    </w:p>
    <w:p w14:paraId="58A11819"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highlight w:val="green"/>
        </w:rPr>
        <w:t>b.</w:t>
      </w:r>
      <w:r w:rsidRPr="00860C10">
        <w:rPr>
          <w:rFonts w:ascii="SabonLTStd-Bold" w:hAnsi="SabonLTStd-Bold" w:cs="SabonLTStd-Bold"/>
          <w:bCs/>
          <w:sz w:val="24"/>
          <w:szCs w:val="24"/>
        </w:rPr>
        <w:t xml:space="preserve"> Determine the required return that J&amp;M common stock should provide.</w:t>
      </w:r>
    </w:p>
    <w:p w14:paraId="331F9A0C" w14:textId="4BE0EB29" w:rsid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highlight w:val="green"/>
        </w:rPr>
        <w:t>c.</w:t>
      </w:r>
      <w:r w:rsidRPr="00860C10">
        <w:rPr>
          <w:rFonts w:ascii="SabonLTStd-Bold" w:hAnsi="SabonLTStd-Bold" w:cs="SabonLTStd-Bold"/>
          <w:bCs/>
          <w:sz w:val="24"/>
          <w:szCs w:val="24"/>
        </w:rPr>
        <w:t xml:space="preserve"> Determine J&amp;M’s cost of common stock equity using the CAPM.</w:t>
      </w:r>
    </w:p>
    <w:p w14:paraId="0EAA5D10" w14:textId="38C0E822" w:rsidR="00860C10" w:rsidRDefault="00860C10" w:rsidP="00860C10">
      <w:pPr>
        <w:autoSpaceDE w:val="0"/>
        <w:autoSpaceDN w:val="0"/>
        <w:adjustRightInd w:val="0"/>
        <w:spacing w:after="0" w:line="240" w:lineRule="auto"/>
        <w:rPr>
          <w:rFonts w:ascii="SabonLTStd-Bold" w:hAnsi="SabonLTStd-Bold" w:cs="SabonLTStd-Bold"/>
          <w:bCs/>
          <w:sz w:val="24"/>
          <w:szCs w:val="24"/>
        </w:rPr>
      </w:pPr>
    </w:p>
    <w:p w14:paraId="5B963877" w14:textId="2D011E73" w:rsidR="00860C10" w:rsidRDefault="00860C10" w:rsidP="00860C10">
      <w:pPr>
        <w:autoSpaceDE w:val="0"/>
        <w:autoSpaceDN w:val="0"/>
        <w:adjustRightInd w:val="0"/>
        <w:spacing w:after="0" w:line="240" w:lineRule="auto"/>
        <w:rPr>
          <w:rFonts w:ascii="SabonLTStd-Bold" w:hAnsi="SabonLTStd-Bold" w:cs="SabonLTStd-Bold"/>
          <w:bCs/>
          <w:sz w:val="24"/>
          <w:szCs w:val="24"/>
        </w:rPr>
      </w:pPr>
    </w:p>
    <w:p w14:paraId="741A71E4" w14:textId="6C4F8957" w:rsidR="00860C10" w:rsidRPr="00014897" w:rsidRDefault="00860C10" w:rsidP="00860C10">
      <w:pPr>
        <w:autoSpaceDE w:val="0"/>
        <w:autoSpaceDN w:val="0"/>
        <w:adjustRightInd w:val="0"/>
        <w:spacing w:after="0" w:line="240" w:lineRule="auto"/>
        <w:rPr>
          <w:sz w:val="32"/>
        </w:rPr>
      </w:pPr>
      <w:r w:rsidRPr="000D53CE">
        <w:rPr>
          <w:sz w:val="32"/>
          <w:highlight w:val="green"/>
        </w:rPr>
        <w:t>P</w:t>
      </w:r>
      <w:r>
        <w:rPr>
          <w:sz w:val="32"/>
          <w:highlight w:val="green"/>
        </w:rPr>
        <w:t>9-</w:t>
      </w:r>
      <w:r>
        <w:rPr>
          <w:sz w:val="32"/>
          <w:highlight w:val="green"/>
        </w:rPr>
        <w:t>10</w:t>
      </w:r>
    </w:p>
    <w:p w14:paraId="72447986"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Cost of common stock equity Ross Textiles wishes to measure its cost of common</w:t>
      </w:r>
    </w:p>
    <w:p w14:paraId="47F70C81"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stock equity. The firm’s stock is currently selling for $57.50. The firm expects to pay</w:t>
      </w:r>
    </w:p>
    <w:p w14:paraId="6BA79065"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a $3.40 dividend at the end of the year (2016). The dividends for the past 5 years</w:t>
      </w:r>
    </w:p>
    <w:p w14:paraId="1EF9E6DD" w14:textId="4AFAC80B" w:rsid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are shown in the following table.</w:t>
      </w:r>
    </w:p>
    <w:p w14:paraId="11D92045" w14:textId="67DC42BA" w:rsidR="00860C10" w:rsidRDefault="00860C10" w:rsidP="00860C10">
      <w:pPr>
        <w:autoSpaceDE w:val="0"/>
        <w:autoSpaceDN w:val="0"/>
        <w:adjustRightInd w:val="0"/>
        <w:spacing w:after="0" w:line="240" w:lineRule="auto"/>
        <w:rPr>
          <w:rFonts w:ascii="SabonLTStd-Bold" w:hAnsi="SabonLTStd-Bold" w:cs="SabonLTStd-Bold"/>
          <w:bCs/>
          <w:sz w:val="24"/>
          <w:szCs w:val="24"/>
        </w:rPr>
      </w:pPr>
      <w:r>
        <w:rPr>
          <w:rFonts w:ascii="SabonLTStd-Bold" w:hAnsi="SabonLTStd-Bold" w:cs="SabonLTStd-Bold"/>
          <w:bCs/>
          <w:noProof/>
          <w:sz w:val="24"/>
          <w:szCs w:val="24"/>
        </w:rPr>
        <w:drawing>
          <wp:inline distT="0" distB="0" distL="0" distR="0" wp14:anchorId="66D08E4C" wp14:editId="0563FC8C">
            <wp:extent cx="1495634" cy="136226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910.PNG"/>
                    <pic:cNvPicPr/>
                  </pic:nvPicPr>
                  <pic:blipFill>
                    <a:blip r:embed="rId10">
                      <a:extLst>
                        <a:ext uri="{28A0092B-C50C-407E-A947-70E740481C1C}">
                          <a14:useLocalDpi xmlns:a14="http://schemas.microsoft.com/office/drawing/2010/main" val="0"/>
                        </a:ext>
                      </a:extLst>
                    </a:blip>
                    <a:stretch>
                      <a:fillRect/>
                    </a:stretch>
                  </pic:blipFill>
                  <pic:spPr>
                    <a:xfrm>
                      <a:off x="0" y="0"/>
                      <a:ext cx="1495634" cy="1362265"/>
                    </a:xfrm>
                    <a:prstGeom prst="rect">
                      <a:avLst/>
                    </a:prstGeom>
                  </pic:spPr>
                </pic:pic>
              </a:graphicData>
            </a:graphic>
          </wp:inline>
        </w:drawing>
      </w:r>
    </w:p>
    <w:p w14:paraId="59C5838A"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After underpricing and flotation costs, the firm expects to net $52 per share on a</w:t>
      </w:r>
    </w:p>
    <w:p w14:paraId="09543C92"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new issue.</w:t>
      </w:r>
    </w:p>
    <w:p w14:paraId="7FA4750B"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highlight w:val="green"/>
        </w:rPr>
        <w:t>a.</w:t>
      </w:r>
      <w:r w:rsidRPr="00860C10">
        <w:rPr>
          <w:rFonts w:ascii="SabonLTStd-Bold" w:hAnsi="SabonLTStd-Bold" w:cs="SabonLTStd-Bold"/>
          <w:bCs/>
          <w:sz w:val="24"/>
          <w:szCs w:val="24"/>
        </w:rPr>
        <w:t xml:space="preserve"> Determine the growth rate of dividends from 2011 to 2015.</w:t>
      </w:r>
    </w:p>
    <w:p w14:paraId="632B1630"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highlight w:val="green"/>
        </w:rPr>
        <w:t>b.</w:t>
      </w:r>
      <w:r w:rsidRPr="00860C10">
        <w:rPr>
          <w:rFonts w:ascii="SabonLTStd-Bold" w:hAnsi="SabonLTStd-Bold" w:cs="SabonLTStd-Bold"/>
          <w:bCs/>
          <w:sz w:val="24"/>
          <w:szCs w:val="24"/>
        </w:rPr>
        <w:t xml:space="preserve"> Determine the net proceeds, </w:t>
      </w:r>
      <w:proofErr w:type="spellStart"/>
      <w:r w:rsidRPr="00860C10">
        <w:rPr>
          <w:rFonts w:ascii="SabonLTStd-Bold" w:hAnsi="SabonLTStd-Bold" w:cs="SabonLTStd-Bold"/>
          <w:bCs/>
          <w:sz w:val="24"/>
          <w:szCs w:val="24"/>
        </w:rPr>
        <w:t>Nn</w:t>
      </w:r>
      <w:proofErr w:type="spellEnd"/>
      <w:r w:rsidRPr="00860C10">
        <w:rPr>
          <w:rFonts w:ascii="SabonLTStd-Bold" w:hAnsi="SabonLTStd-Bold" w:cs="SabonLTStd-Bold"/>
          <w:bCs/>
          <w:sz w:val="24"/>
          <w:szCs w:val="24"/>
        </w:rPr>
        <w:t xml:space="preserve">, that the firm will </w:t>
      </w:r>
      <w:proofErr w:type="gramStart"/>
      <w:r w:rsidRPr="00860C10">
        <w:rPr>
          <w:rFonts w:ascii="SabonLTStd-Bold" w:hAnsi="SabonLTStd-Bold" w:cs="SabonLTStd-Bold"/>
          <w:bCs/>
          <w:sz w:val="24"/>
          <w:szCs w:val="24"/>
        </w:rPr>
        <w:t>actually receive</w:t>
      </w:r>
      <w:proofErr w:type="gramEnd"/>
      <w:r w:rsidRPr="00860C10">
        <w:rPr>
          <w:rFonts w:ascii="SabonLTStd-Bold" w:hAnsi="SabonLTStd-Bold" w:cs="SabonLTStd-Bold"/>
          <w:bCs/>
          <w:sz w:val="24"/>
          <w:szCs w:val="24"/>
        </w:rPr>
        <w:t>.</w:t>
      </w:r>
    </w:p>
    <w:p w14:paraId="06FF1E8F"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highlight w:val="green"/>
        </w:rPr>
        <w:t>c.</w:t>
      </w:r>
      <w:r w:rsidRPr="00860C10">
        <w:rPr>
          <w:rFonts w:ascii="SabonLTStd-Bold" w:hAnsi="SabonLTStd-Bold" w:cs="SabonLTStd-Bold"/>
          <w:bCs/>
          <w:sz w:val="24"/>
          <w:szCs w:val="24"/>
        </w:rPr>
        <w:t xml:space="preserve"> Using the constant-growth valuation model, determine the cost of retained earnings, </w:t>
      </w:r>
      <w:proofErr w:type="spellStart"/>
      <w:r w:rsidRPr="00860C10">
        <w:rPr>
          <w:rFonts w:ascii="SabonLTStd-Bold" w:hAnsi="SabonLTStd-Bold" w:cs="SabonLTStd-Bold"/>
          <w:bCs/>
          <w:sz w:val="24"/>
          <w:szCs w:val="24"/>
        </w:rPr>
        <w:t>rr</w:t>
      </w:r>
      <w:proofErr w:type="spellEnd"/>
      <w:r w:rsidRPr="00860C10">
        <w:rPr>
          <w:rFonts w:ascii="SabonLTStd-Bold" w:hAnsi="SabonLTStd-Bold" w:cs="SabonLTStd-Bold"/>
          <w:bCs/>
          <w:sz w:val="24"/>
          <w:szCs w:val="24"/>
        </w:rPr>
        <w:t>.</w:t>
      </w:r>
    </w:p>
    <w:p w14:paraId="044415BD"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highlight w:val="green"/>
        </w:rPr>
        <w:t>d.</w:t>
      </w:r>
      <w:r w:rsidRPr="00860C10">
        <w:rPr>
          <w:rFonts w:ascii="SabonLTStd-Bold" w:hAnsi="SabonLTStd-Bold" w:cs="SabonLTStd-Bold"/>
          <w:bCs/>
          <w:sz w:val="24"/>
          <w:szCs w:val="24"/>
        </w:rPr>
        <w:t xml:space="preserve"> Using the constant-growth valuation model, determine the cost of new common</w:t>
      </w:r>
    </w:p>
    <w:p w14:paraId="07F8B86F" w14:textId="689CAF64" w:rsid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 xml:space="preserve">stock, </w:t>
      </w:r>
      <w:proofErr w:type="spellStart"/>
      <w:r w:rsidRPr="00860C10">
        <w:rPr>
          <w:rFonts w:ascii="SabonLTStd-Bold" w:hAnsi="SabonLTStd-Bold" w:cs="SabonLTStd-Bold"/>
          <w:bCs/>
          <w:sz w:val="24"/>
          <w:szCs w:val="24"/>
        </w:rPr>
        <w:t>rn</w:t>
      </w:r>
      <w:proofErr w:type="spellEnd"/>
      <w:r w:rsidRPr="00860C10">
        <w:rPr>
          <w:rFonts w:ascii="SabonLTStd-Bold" w:hAnsi="SabonLTStd-Bold" w:cs="SabonLTStd-Bold"/>
          <w:bCs/>
          <w:sz w:val="24"/>
          <w:szCs w:val="24"/>
        </w:rPr>
        <w:t>.</w:t>
      </w:r>
    </w:p>
    <w:p w14:paraId="5E0170A9" w14:textId="784BF25C" w:rsidR="00860C10" w:rsidRDefault="00860C10" w:rsidP="00860C10">
      <w:pPr>
        <w:autoSpaceDE w:val="0"/>
        <w:autoSpaceDN w:val="0"/>
        <w:adjustRightInd w:val="0"/>
        <w:spacing w:after="0" w:line="240" w:lineRule="auto"/>
        <w:rPr>
          <w:rFonts w:ascii="SabonLTStd-Bold" w:hAnsi="SabonLTStd-Bold" w:cs="SabonLTStd-Bold"/>
          <w:bCs/>
          <w:sz w:val="24"/>
          <w:szCs w:val="24"/>
        </w:rPr>
      </w:pPr>
    </w:p>
    <w:p w14:paraId="149DB400" w14:textId="010F3228" w:rsidR="00860C10" w:rsidRDefault="00860C10" w:rsidP="00860C10">
      <w:pPr>
        <w:autoSpaceDE w:val="0"/>
        <w:autoSpaceDN w:val="0"/>
        <w:adjustRightInd w:val="0"/>
        <w:spacing w:after="0" w:line="240" w:lineRule="auto"/>
        <w:rPr>
          <w:rFonts w:ascii="SabonLTStd-Bold" w:hAnsi="SabonLTStd-Bold" w:cs="SabonLTStd-Bold"/>
          <w:bCs/>
          <w:sz w:val="24"/>
          <w:szCs w:val="24"/>
        </w:rPr>
      </w:pPr>
    </w:p>
    <w:p w14:paraId="0EF44EBE" w14:textId="6A14C49A" w:rsidR="00860C10" w:rsidRPr="00014897" w:rsidRDefault="00860C10" w:rsidP="00860C10">
      <w:pPr>
        <w:autoSpaceDE w:val="0"/>
        <w:autoSpaceDN w:val="0"/>
        <w:adjustRightInd w:val="0"/>
        <w:spacing w:after="0" w:line="240" w:lineRule="auto"/>
        <w:rPr>
          <w:sz w:val="32"/>
        </w:rPr>
      </w:pPr>
      <w:r w:rsidRPr="000D53CE">
        <w:rPr>
          <w:sz w:val="32"/>
          <w:highlight w:val="green"/>
        </w:rPr>
        <w:t>P</w:t>
      </w:r>
      <w:r>
        <w:rPr>
          <w:sz w:val="32"/>
          <w:highlight w:val="green"/>
        </w:rPr>
        <w:t>9-1</w:t>
      </w:r>
      <w:r>
        <w:rPr>
          <w:sz w:val="32"/>
          <w:highlight w:val="green"/>
        </w:rPr>
        <w:t>7</w:t>
      </w:r>
    </w:p>
    <w:p w14:paraId="00C4F7C5"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Calculation of individual costs and WACC Dillon Labs has asked its financial manager</w:t>
      </w:r>
    </w:p>
    <w:p w14:paraId="1F61E49C"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to measure the cost of each specific type of capital as well as the weighted average</w:t>
      </w:r>
    </w:p>
    <w:p w14:paraId="098BF650"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cost of capital. The weighted average cost is to be measured by using the following</w:t>
      </w:r>
    </w:p>
    <w:p w14:paraId="59751E89"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weights: 40% long-term debt, 10% preferred stock, and 50% common stock equity</w:t>
      </w:r>
    </w:p>
    <w:p w14:paraId="7D214A31"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(retained earnings, new common stock, or both). The firm’s tax rate is 40%.</w:t>
      </w:r>
    </w:p>
    <w:p w14:paraId="012828D9"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Debt The firm can sell for $980 a 10-year, $1,000-par-value bond paying annual</w:t>
      </w:r>
    </w:p>
    <w:p w14:paraId="7CB3C7CC"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interest at a 10% coupon rate. A flotation cost of 3% of the par value is required</w:t>
      </w:r>
    </w:p>
    <w:p w14:paraId="1804DB71"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in addition to the discount of $20 per bond.</w:t>
      </w:r>
    </w:p>
    <w:p w14:paraId="0D634683"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lastRenderedPageBreak/>
        <w:t>Preferred stock Eight percent (annual dividend) preferred stock having a par</w:t>
      </w:r>
    </w:p>
    <w:p w14:paraId="3494B581"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value of $100 can be sold for $65. An additional fee of $2 per share must be paid</w:t>
      </w:r>
    </w:p>
    <w:p w14:paraId="4803EC41"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to the underwriters.</w:t>
      </w:r>
    </w:p>
    <w:p w14:paraId="598B6403"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 xml:space="preserve">Common stock </w:t>
      </w:r>
      <w:proofErr w:type="gramStart"/>
      <w:r w:rsidRPr="00860C10">
        <w:rPr>
          <w:rFonts w:ascii="SabonLTStd-Bold" w:hAnsi="SabonLTStd-Bold" w:cs="SabonLTStd-Bold"/>
          <w:bCs/>
          <w:sz w:val="24"/>
          <w:szCs w:val="24"/>
        </w:rPr>
        <w:t>The</w:t>
      </w:r>
      <w:proofErr w:type="gramEnd"/>
      <w:r w:rsidRPr="00860C10">
        <w:rPr>
          <w:rFonts w:ascii="SabonLTStd-Bold" w:hAnsi="SabonLTStd-Bold" w:cs="SabonLTStd-Bold"/>
          <w:bCs/>
          <w:sz w:val="24"/>
          <w:szCs w:val="24"/>
        </w:rPr>
        <w:t xml:space="preserve"> firm’s common stock is currently selling for $50 per share.</w:t>
      </w:r>
    </w:p>
    <w:p w14:paraId="53889E3B"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The dividend expected to be paid at the end of the coming year (2016) is $4. Its</w:t>
      </w:r>
    </w:p>
    <w:p w14:paraId="3B2B20CA"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dividend payments, which have been approximately 60% of earnings per share in</w:t>
      </w:r>
    </w:p>
    <w:p w14:paraId="3F03C6F4" w14:textId="0B0108F4" w:rsid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each of the past 5 years, were as shown in the following table.</w:t>
      </w:r>
    </w:p>
    <w:p w14:paraId="41C129B8" w14:textId="7F2E8694" w:rsidR="00860C10" w:rsidRDefault="00860C10" w:rsidP="00860C10">
      <w:pPr>
        <w:autoSpaceDE w:val="0"/>
        <w:autoSpaceDN w:val="0"/>
        <w:adjustRightInd w:val="0"/>
        <w:spacing w:after="0" w:line="240" w:lineRule="auto"/>
        <w:rPr>
          <w:rFonts w:ascii="SabonLTStd-Bold" w:hAnsi="SabonLTStd-Bold" w:cs="SabonLTStd-Bold"/>
          <w:bCs/>
          <w:sz w:val="24"/>
          <w:szCs w:val="24"/>
        </w:rPr>
      </w:pPr>
      <w:r>
        <w:rPr>
          <w:rFonts w:ascii="SabonLTStd-Bold" w:hAnsi="SabonLTStd-Bold" w:cs="SabonLTStd-Bold"/>
          <w:bCs/>
          <w:noProof/>
          <w:sz w:val="24"/>
          <w:szCs w:val="24"/>
        </w:rPr>
        <w:drawing>
          <wp:inline distT="0" distB="0" distL="0" distR="0" wp14:anchorId="03D18FFC" wp14:editId="628764AF">
            <wp:extent cx="1514686" cy="1400370"/>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917.PNG"/>
                    <pic:cNvPicPr/>
                  </pic:nvPicPr>
                  <pic:blipFill>
                    <a:blip r:embed="rId11">
                      <a:extLst>
                        <a:ext uri="{28A0092B-C50C-407E-A947-70E740481C1C}">
                          <a14:useLocalDpi xmlns:a14="http://schemas.microsoft.com/office/drawing/2010/main" val="0"/>
                        </a:ext>
                      </a:extLst>
                    </a:blip>
                    <a:stretch>
                      <a:fillRect/>
                    </a:stretch>
                  </pic:blipFill>
                  <pic:spPr>
                    <a:xfrm>
                      <a:off x="0" y="0"/>
                      <a:ext cx="1514686" cy="1400370"/>
                    </a:xfrm>
                    <a:prstGeom prst="rect">
                      <a:avLst/>
                    </a:prstGeom>
                  </pic:spPr>
                </pic:pic>
              </a:graphicData>
            </a:graphic>
          </wp:inline>
        </w:drawing>
      </w:r>
    </w:p>
    <w:p w14:paraId="554B50F0"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It is expected that to attract buyers, new common stock must be underpriced</w:t>
      </w:r>
    </w:p>
    <w:p w14:paraId="456CE0CE"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$5 per share, and the firm must also pay $3 per share in flotation costs. Dividend</w:t>
      </w:r>
    </w:p>
    <w:p w14:paraId="7CF9129A"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rPr>
        <w:t xml:space="preserve">payments are expected to continue at 60% of earnings. (Assume that </w:t>
      </w:r>
      <w:proofErr w:type="spellStart"/>
      <w:r w:rsidRPr="00860C10">
        <w:rPr>
          <w:rFonts w:ascii="SabonLTStd-Bold" w:hAnsi="SabonLTStd-Bold" w:cs="SabonLTStd-Bold"/>
          <w:bCs/>
          <w:sz w:val="24"/>
          <w:szCs w:val="24"/>
        </w:rPr>
        <w:t>rr</w:t>
      </w:r>
      <w:proofErr w:type="spellEnd"/>
      <w:r w:rsidRPr="00860C10">
        <w:rPr>
          <w:rFonts w:ascii="SabonLTStd-Bold" w:hAnsi="SabonLTStd-Bold" w:cs="SabonLTStd-Bold"/>
          <w:bCs/>
          <w:sz w:val="24"/>
          <w:szCs w:val="24"/>
        </w:rPr>
        <w:t xml:space="preserve"> = </w:t>
      </w:r>
      <w:proofErr w:type="spellStart"/>
      <w:r w:rsidRPr="00860C10">
        <w:rPr>
          <w:rFonts w:ascii="SabonLTStd-Bold" w:hAnsi="SabonLTStd-Bold" w:cs="SabonLTStd-Bold"/>
          <w:bCs/>
          <w:sz w:val="24"/>
          <w:szCs w:val="24"/>
        </w:rPr>
        <w:t>rs</w:t>
      </w:r>
      <w:proofErr w:type="spellEnd"/>
      <w:r w:rsidRPr="00860C10">
        <w:rPr>
          <w:rFonts w:ascii="SabonLTStd-Bold" w:hAnsi="SabonLTStd-Bold" w:cs="SabonLTStd-Bold"/>
          <w:bCs/>
          <w:sz w:val="24"/>
          <w:szCs w:val="24"/>
        </w:rPr>
        <w:t>.)</w:t>
      </w:r>
    </w:p>
    <w:p w14:paraId="7A4BA0FE"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highlight w:val="green"/>
        </w:rPr>
        <w:t>a.</w:t>
      </w:r>
      <w:r w:rsidRPr="00860C10">
        <w:rPr>
          <w:rFonts w:ascii="SabonLTStd-Bold" w:hAnsi="SabonLTStd-Bold" w:cs="SabonLTStd-Bold"/>
          <w:bCs/>
          <w:sz w:val="24"/>
          <w:szCs w:val="24"/>
        </w:rPr>
        <w:t xml:space="preserve"> Calculate the after-tax cost of debt.</w:t>
      </w:r>
    </w:p>
    <w:p w14:paraId="426C24A3"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highlight w:val="green"/>
        </w:rPr>
        <w:t>b.</w:t>
      </w:r>
      <w:r w:rsidRPr="00860C10">
        <w:rPr>
          <w:rFonts w:ascii="SabonLTStd-Bold" w:hAnsi="SabonLTStd-Bold" w:cs="SabonLTStd-Bold"/>
          <w:bCs/>
          <w:sz w:val="24"/>
          <w:szCs w:val="24"/>
        </w:rPr>
        <w:t xml:space="preserve"> Calculate the cost of preferred stock.</w:t>
      </w:r>
    </w:p>
    <w:p w14:paraId="49C65E80" w14:textId="77777777" w:rsidR="00860C10" w:rsidRPr="00860C10"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highlight w:val="green"/>
        </w:rPr>
        <w:t>c.</w:t>
      </w:r>
      <w:r w:rsidRPr="00860C10">
        <w:rPr>
          <w:rFonts w:ascii="SabonLTStd-Bold" w:hAnsi="SabonLTStd-Bold" w:cs="SabonLTStd-Bold"/>
          <w:bCs/>
          <w:sz w:val="24"/>
          <w:szCs w:val="24"/>
        </w:rPr>
        <w:t xml:space="preserve"> Calculate the cost of common stock.</w:t>
      </w:r>
    </w:p>
    <w:p w14:paraId="36EDE962" w14:textId="5A2433CF" w:rsidR="00860C10" w:rsidRPr="00014897" w:rsidRDefault="00860C10" w:rsidP="00860C10">
      <w:pPr>
        <w:autoSpaceDE w:val="0"/>
        <w:autoSpaceDN w:val="0"/>
        <w:adjustRightInd w:val="0"/>
        <w:spacing w:after="0" w:line="240" w:lineRule="auto"/>
        <w:rPr>
          <w:rFonts w:ascii="SabonLTStd-Bold" w:hAnsi="SabonLTStd-Bold" w:cs="SabonLTStd-Bold"/>
          <w:bCs/>
          <w:sz w:val="24"/>
          <w:szCs w:val="24"/>
        </w:rPr>
      </w:pPr>
      <w:r w:rsidRPr="00860C10">
        <w:rPr>
          <w:rFonts w:ascii="SabonLTStd-Bold" w:hAnsi="SabonLTStd-Bold" w:cs="SabonLTStd-Bold"/>
          <w:bCs/>
          <w:sz w:val="24"/>
          <w:szCs w:val="24"/>
          <w:highlight w:val="green"/>
        </w:rPr>
        <w:t>d.</w:t>
      </w:r>
      <w:r w:rsidRPr="00860C10">
        <w:rPr>
          <w:rFonts w:ascii="SabonLTStd-Bold" w:hAnsi="SabonLTStd-Bold" w:cs="SabonLTStd-Bold"/>
          <w:bCs/>
          <w:sz w:val="24"/>
          <w:szCs w:val="24"/>
        </w:rPr>
        <w:t xml:space="preserve"> Calculate the WACC for Dillon Labs.</w:t>
      </w:r>
    </w:p>
    <w:sectPr w:rsidR="00860C10" w:rsidRPr="000148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abonLTStd-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78002D"/>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744059"/>
    <w:multiLevelType w:val="multilevel"/>
    <w:tmpl w:val="B7CED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BB5314"/>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894E6D"/>
    <w:multiLevelType w:val="multilevel"/>
    <w:tmpl w:val="BF92B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61028E"/>
    <w:multiLevelType w:val="multilevel"/>
    <w:tmpl w:val="59A6B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F04519"/>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1A300C"/>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9C60C9"/>
    <w:multiLevelType w:val="multilevel"/>
    <w:tmpl w:val="8B1083C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466543"/>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036A79"/>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F337E3"/>
    <w:multiLevelType w:val="hybridMultilevel"/>
    <w:tmpl w:val="803C0D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5110F8A"/>
    <w:multiLevelType w:val="multilevel"/>
    <w:tmpl w:val="98603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8"/>
  </w:num>
  <w:num w:numId="7">
    <w:abstractNumId w:val="5"/>
  </w:num>
  <w:num w:numId="8">
    <w:abstractNumId w:val="9"/>
  </w:num>
  <w:num w:numId="9">
    <w:abstractNumId w:val="7"/>
  </w:num>
  <w:num w:numId="10">
    <w:abstractNumId w:val="11"/>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F90"/>
    <w:rsid w:val="00014897"/>
    <w:rsid w:val="00014ADE"/>
    <w:rsid w:val="000D53CE"/>
    <w:rsid w:val="006766D5"/>
    <w:rsid w:val="006C175E"/>
    <w:rsid w:val="00782B2D"/>
    <w:rsid w:val="00860C10"/>
    <w:rsid w:val="00A66992"/>
    <w:rsid w:val="00D32FBC"/>
    <w:rsid w:val="00DB47A3"/>
    <w:rsid w:val="00E66F90"/>
    <w:rsid w:val="00E71A51"/>
    <w:rsid w:val="00F64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B33E3"/>
  <w15:chartTrackingRefBased/>
  <w15:docId w15:val="{15B53056-093A-411A-A7F9-569F143A0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6F9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B47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57954">
      <w:bodyDiv w:val="1"/>
      <w:marLeft w:val="0"/>
      <w:marRight w:val="0"/>
      <w:marTop w:val="0"/>
      <w:marBottom w:val="0"/>
      <w:divBdr>
        <w:top w:val="none" w:sz="0" w:space="0" w:color="auto"/>
        <w:left w:val="none" w:sz="0" w:space="0" w:color="auto"/>
        <w:bottom w:val="none" w:sz="0" w:space="0" w:color="auto"/>
        <w:right w:val="none" w:sz="0" w:space="0" w:color="auto"/>
      </w:divBdr>
    </w:div>
    <w:div w:id="505096010">
      <w:bodyDiv w:val="1"/>
      <w:marLeft w:val="0"/>
      <w:marRight w:val="0"/>
      <w:marTop w:val="0"/>
      <w:marBottom w:val="0"/>
      <w:divBdr>
        <w:top w:val="none" w:sz="0" w:space="0" w:color="auto"/>
        <w:left w:val="none" w:sz="0" w:space="0" w:color="auto"/>
        <w:bottom w:val="none" w:sz="0" w:space="0" w:color="auto"/>
        <w:right w:val="none" w:sz="0" w:space="0" w:color="auto"/>
      </w:divBdr>
    </w:div>
    <w:div w:id="703529425">
      <w:bodyDiv w:val="1"/>
      <w:marLeft w:val="0"/>
      <w:marRight w:val="0"/>
      <w:marTop w:val="0"/>
      <w:marBottom w:val="0"/>
      <w:divBdr>
        <w:top w:val="none" w:sz="0" w:space="0" w:color="auto"/>
        <w:left w:val="none" w:sz="0" w:space="0" w:color="auto"/>
        <w:bottom w:val="none" w:sz="0" w:space="0" w:color="auto"/>
        <w:right w:val="none" w:sz="0" w:space="0" w:color="auto"/>
      </w:divBdr>
    </w:div>
    <w:div w:id="1337076333">
      <w:bodyDiv w:val="1"/>
      <w:marLeft w:val="0"/>
      <w:marRight w:val="0"/>
      <w:marTop w:val="0"/>
      <w:marBottom w:val="0"/>
      <w:divBdr>
        <w:top w:val="none" w:sz="0" w:space="0" w:color="auto"/>
        <w:left w:val="none" w:sz="0" w:space="0" w:color="auto"/>
        <w:bottom w:val="none" w:sz="0" w:space="0" w:color="auto"/>
        <w:right w:val="none" w:sz="0" w:space="0" w:color="auto"/>
      </w:divBdr>
    </w:div>
    <w:div w:id="1407220487">
      <w:bodyDiv w:val="1"/>
      <w:marLeft w:val="0"/>
      <w:marRight w:val="0"/>
      <w:marTop w:val="0"/>
      <w:marBottom w:val="0"/>
      <w:divBdr>
        <w:top w:val="none" w:sz="0" w:space="0" w:color="auto"/>
        <w:left w:val="none" w:sz="0" w:space="0" w:color="auto"/>
        <w:bottom w:val="none" w:sz="0" w:space="0" w:color="auto"/>
        <w:right w:val="none" w:sz="0" w:space="0" w:color="auto"/>
      </w:divBdr>
    </w:div>
    <w:div w:id="1516769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1341</Words>
  <Characters>7648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Seeman</dc:creator>
  <cp:keywords/>
  <dc:description/>
  <cp:lastModifiedBy>Hunter Seeman</cp:lastModifiedBy>
  <cp:revision>2</cp:revision>
  <dcterms:created xsi:type="dcterms:W3CDTF">2019-03-03T01:50:00Z</dcterms:created>
  <dcterms:modified xsi:type="dcterms:W3CDTF">2019-03-03T01:50:00Z</dcterms:modified>
</cp:coreProperties>
</file>